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7E3" w:rsidRPr="00321E18" w:rsidRDefault="00D237E3" w:rsidP="00D237E3">
      <w:pPr>
        <w:jc w:val="both"/>
        <w:rPr>
          <w:rFonts w:ascii="Arial" w:hAnsi="Arial" w:cs="Arial"/>
        </w:rPr>
      </w:pPr>
    </w:p>
    <w:p w:rsidR="00D237E3" w:rsidRPr="00D91688" w:rsidRDefault="00D237E3" w:rsidP="00D237E3">
      <w:pPr>
        <w:jc w:val="both"/>
        <w:rPr>
          <w:rFonts w:ascii="Arial" w:hAnsi="Arial" w:cs="Arial"/>
          <w:b/>
          <w:lang w:val="nl-BE"/>
        </w:rPr>
      </w:pPr>
      <w:r>
        <w:rPr>
          <w:rFonts w:ascii="Arial" w:eastAsia="Arial" w:hAnsi="Arial" w:cs="Arial"/>
          <w:b/>
          <w:bCs/>
          <w:bdr w:val="nil"/>
          <w:lang w:val="nl-BE"/>
        </w:rPr>
        <w:t>Model van bericht van mededeling van de beslissing inzake stedenbouwkundige vergunningen, verkavelingsvergunningen en stedenbouwkundige attesten</w:t>
      </w:r>
    </w:p>
    <w:p w:rsidR="00D237E3" w:rsidRPr="00D91688" w:rsidRDefault="00D237E3" w:rsidP="00D237E3">
      <w:pPr>
        <w:jc w:val="both"/>
        <w:rPr>
          <w:rFonts w:ascii="Arial" w:hAnsi="Arial" w:cs="Arial"/>
          <w:lang w:val="nl-BE"/>
        </w:rPr>
      </w:pPr>
      <w:r>
        <w:rPr>
          <w:rFonts w:ascii="Arial" w:eastAsia="Arial" w:hAnsi="Arial" w:cs="Arial"/>
          <w:bdr w:val="nil"/>
          <w:lang w:val="nl-BE"/>
        </w:rPr>
        <w:t>U vindt op de volgende pagina's een model van affiche dat u dient te gebruiken indien u er geen ontvangen hebt bij de kennisgeving van de beslissing van de vergunnende overheid betreffende uw aanvraag tot stedenbouwkundige vergunning, verkavelingsvergunning of stedenbouwkundig attest.</w:t>
      </w:r>
    </w:p>
    <w:p w:rsidR="00AC3546" w:rsidRDefault="000C216C" w:rsidP="00D237E3">
      <w:pPr>
        <w:jc w:val="both"/>
        <w:rPr>
          <w:rFonts w:ascii="Arial" w:eastAsia="Arial" w:hAnsi="Arial" w:cs="Arial"/>
          <w:u w:val="single"/>
          <w:bdr w:val="nil"/>
          <w:lang w:val="nl-BE"/>
        </w:rPr>
      </w:pPr>
      <w:r w:rsidRPr="000C216C">
        <w:rPr>
          <w:rFonts w:ascii="Arial" w:eastAsia="Arial" w:hAnsi="Arial" w:cs="Arial"/>
          <w:bdr w:val="nil"/>
          <w:lang w:val="nl-BE"/>
        </w:rPr>
        <w:t>Krachtens artikel 6, § 2, eerste lid, van</w:t>
      </w:r>
      <w:r>
        <w:rPr>
          <w:rFonts w:ascii="Arial" w:eastAsia="Arial" w:hAnsi="Arial" w:cs="Arial"/>
          <w:bdr w:val="nil"/>
          <w:lang w:val="nl-BE"/>
        </w:rPr>
        <w:t xml:space="preserve"> </w:t>
      </w:r>
      <w:r w:rsidR="009E3E66" w:rsidRPr="000C216C">
        <w:rPr>
          <w:rFonts w:ascii="Arial" w:eastAsia="Arial" w:hAnsi="Arial" w:cs="Arial"/>
          <w:bdr w:val="nil"/>
          <w:lang w:val="nl-BE"/>
        </w:rPr>
        <w:t>het besluit van de Brusselse Hoofdstedelijke Regering van 25 april 2019 tot bepaling van de vorm en van de procedures voor de bekendmaking en de terbeschikkingstelling van de beslissingen, genomen door het college van burgemeester en schepenen, de gemachtigde ambtenaar en de Regering inzake stedenbouwkundige vergunningen, verkavelingsvergunningen en stedenbouwkundige attesten</w:t>
      </w:r>
      <w:r w:rsidR="009E3E66">
        <w:rPr>
          <w:rFonts w:ascii="Arial" w:eastAsia="Arial" w:hAnsi="Arial" w:cs="Arial"/>
          <w:bdr w:val="nil"/>
          <w:lang w:val="nl-BE"/>
        </w:rPr>
        <w:t xml:space="preserve"> zoals gewijzigd door het </w:t>
      </w:r>
      <w:r>
        <w:rPr>
          <w:rFonts w:ascii="Arial" w:eastAsia="Arial" w:hAnsi="Arial" w:cs="Arial"/>
          <w:bdr w:val="nil"/>
          <w:lang w:val="nl-BE"/>
        </w:rPr>
        <w:t xml:space="preserve">besluit nr. </w:t>
      </w:r>
      <w:r w:rsidRPr="000C216C">
        <w:rPr>
          <w:rFonts w:ascii="Arial" w:eastAsia="Arial" w:hAnsi="Arial" w:cs="Arial"/>
          <w:bdr w:val="nil"/>
          <w:lang w:val="nl-BE"/>
        </w:rPr>
        <w:t>2020/037 van de Brusselse Hoofdstedelijke Regering tot wijziging van</w:t>
      </w:r>
      <w:r>
        <w:rPr>
          <w:rFonts w:ascii="Arial" w:eastAsia="Arial" w:hAnsi="Arial" w:cs="Arial"/>
          <w:bdr w:val="nil"/>
          <w:lang w:val="nl-BE"/>
        </w:rPr>
        <w:t xml:space="preserve">, </w:t>
      </w:r>
      <w:r w:rsidRPr="000C216C">
        <w:rPr>
          <w:rFonts w:ascii="Arial" w:eastAsia="Arial" w:hAnsi="Arial" w:cs="Arial"/>
          <w:u w:val="single"/>
          <w:bdr w:val="nil"/>
          <w:lang w:val="nl-BE"/>
        </w:rPr>
        <w:t>bent u verplicht om voor een periode van 15 dagen te handelen:</w:t>
      </w:r>
    </w:p>
    <w:p w:rsidR="000C216C" w:rsidRPr="000C216C" w:rsidRDefault="000C216C" w:rsidP="000C216C">
      <w:pPr>
        <w:pStyle w:val="Paragraphedeliste"/>
        <w:numPr>
          <w:ilvl w:val="0"/>
          <w:numId w:val="4"/>
        </w:numPr>
        <w:jc w:val="both"/>
        <w:rPr>
          <w:rFonts w:ascii="Arial" w:eastAsia="Arial" w:hAnsi="Arial" w:cs="Arial"/>
          <w:bdr w:val="nil"/>
          <w:lang w:val="nl-BE"/>
        </w:rPr>
      </w:pPr>
      <w:r w:rsidRPr="000C216C">
        <w:rPr>
          <w:rFonts w:ascii="Arial" w:eastAsia="Arial" w:hAnsi="Arial" w:cs="Arial"/>
          <w:bdr w:val="nil"/>
          <w:lang w:val="nl-BE"/>
        </w:rPr>
        <w:t xml:space="preserve">om dit bericht op het betrokken goed, op een plaats die vanaf de openbare weg zichtbaar is, </w:t>
      </w:r>
    </w:p>
    <w:p w:rsidR="000C216C" w:rsidRPr="000C216C" w:rsidRDefault="000C216C" w:rsidP="000C216C">
      <w:pPr>
        <w:pStyle w:val="Paragraphedeliste"/>
        <w:numPr>
          <w:ilvl w:val="0"/>
          <w:numId w:val="4"/>
        </w:numPr>
        <w:jc w:val="both"/>
        <w:rPr>
          <w:rFonts w:ascii="Arial" w:eastAsia="Arial" w:hAnsi="Arial" w:cs="Arial"/>
          <w:bdr w:val="nil"/>
          <w:lang w:val="nl-BE"/>
        </w:rPr>
      </w:pPr>
      <w:r w:rsidRPr="000C216C">
        <w:rPr>
          <w:rFonts w:ascii="Arial" w:eastAsia="Arial" w:hAnsi="Arial" w:cs="Arial"/>
          <w:bdr w:val="nil"/>
          <w:lang w:val="nl-BE"/>
        </w:rPr>
        <w:t xml:space="preserve">en aan de bestaande of toekomstige toegangen tot het betreffende goed die op de grens tussen dit goed en de openbare weg liggen, </w:t>
      </w:r>
    </w:p>
    <w:p w:rsidR="000C216C" w:rsidRPr="000C216C" w:rsidRDefault="000C216C" w:rsidP="000C216C">
      <w:pPr>
        <w:pStyle w:val="Paragraphedeliste"/>
        <w:numPr>
          <w:ilvl w:val="1"/>
          <w:numId w:val="4"/>
        </w:numPr>
        <w:jc w:val="both"/>
        <w:rPr>
          <w:rFonts w:ascii="Arial" w:eastAsia="Arial" w:hAnsi="Arial" w:cs="Arial"/>
          <w:bdr w:val="nil"/>
          <w:lang w:val="nl-BE"/>
        </w:rPr>
      </w:pPr>
      <w:r w:rsidRPr="000C216C">
        <w:rPr>
          <w:rFonts w:ascii="Arial" w:eastAsia="Arial" w:hAnsi="Arial" w:cs="Arial"/>
          <w:bdr w:val="nil"/>
          <w:lang w:val="nl-BE"/>
        </w:rPr>
        <w:t>of, indien er geen toegang tot dit goed is, op de muren en gevels ervan aan de kant van de openbare weg.</w:t>
      </w:r>
    </w:p>
    <w:p w:rsidR="00992F7B" w:rsidRPr="00992F7B" w:rsidRDefault="00992F7B" w:rsidP="00992F7B">
      <w:pPr>
        <w:jc w:val="both"/>
        <w:rPr>
          <w:rFonts w:ascii="Arial" w:eastAsia="Arial" w:hAnsi="Arial" w:cs="Arial"/>
          <w:bdr w:val="nil"/>
          <w:lang w:val="nl-BE"/>
        </w:rPr>
      </w:pPr>
      <w:r w:rsidRPr="00992F7B">
        <w:rPr>
          <w:rFonts w:ascii="Arial" w:eastAsia="Arial" w:hAnsi="Arial" w:cs="Arial"/>
          <w:bdr w:val="nil"/>
          <w:lang w:val="nl-BE"/>
        </w:rPr>
        <w:t>Hiervoor heeft u 10 dagen de tijd, te beginnen met :</w:t>
      </w:r>
    </w:p>
    <w:p w:rsidR="00992F7B" w:rsidRPr="00992F7B" w:rsidRDefault="00992F7B" w:rsidP="00992F7B">
      <w:pPr>
        <w:pStyle w:val="Paragraphedeliste"/>
        <w:numPr>
          <w:ilvl w:val="0"/>
          <w:numId w:val="7"/>
        </w:numPr>
        <w:jc w:val="both"/>
        <w:rPr>
          <w:rFonts w:ascii="Arial" w:eastAsia="Arial" w:hAnsi="Arial" w:cs="Arial"/>
          <w:bdr w:val="nil"/>
          <w:lang w:val="nl-BE"/>
        </w:rPr>
      </w:pPr>
      <w:r w:rsidRPr="00992F7B">
        <w:rPr>
          <w:rFonts w:ascii="Arial" w:eastAsia="Arial" w:hAnsi="Arial" w:cs="Arial"/>
          <w:bdr w:val="nil"/>
          <w:lang w:val="nl-BE"/>
        </w:rPr>
        <w:t>vanaf de ontvangst van de beslissing;</w:t>
      </w:r>
    </w:p>
    <w:p w:rsidR="00992F7B" w:rsidRPr="00992F7B" w:rsidRDefault="00992F7B" w:rsidP="00992F7B">
      <w:pPr>
        <w:pStyle w:val="Paragraphedeliste"/>
        <w:numPr>
          <w:ilvl w:val="0"/>
          <w:numId w:val="7"/>
        </w:numPr>
        <w:jc w:val="both"/>
        <w:rPr>
          <w:rFonts w:ascii="Arial" w:eastAsia="Arial" w:hAnsi="Arial" w:cs="Arial"/>
          <w:bdr w:val="nil"/>
          <w:lang w:val="nl-BE"/>
        </w:rPr>
      </w:pPr>
      <w:r w:rsidRPr="00992F7B">
        <w:rPr>
          <w:rFonts w:ascii="Arial" w:eastAsia="Arial" w:hAnsi="Arial" w:cs="Arial"/>
          <w:bdr w:val="nil"/>
          <w:lang w:val="nl-BE"/>
        </w:rPr>
        <w:t>of vanaf het verstrijken van de termijn, toegekend aan de vergunningverlenende overheid voor de betekening van haar beslissing, indien het uitblijven van een beslissing geldt als weigeringsbeslissing.</w:t>
      </w:r>
    </w:p>
    <w:p w:rsidR="004718CC" w:rsidRDefault="004718CC" w:rsidP="004718CC">
      <w:pPr>
        <w:jc w:val="both"/>
        <w:rPr>
          <w:rFonts w:ascii="Arial" w:eastAsia="Arial" w:hAnsi="Arial" w:cs="Arial"/>
          <w:bdr w:val="nil"/>
          <w:lang w:val="nl-BE"/>
        </w:rPr>
      </w:pPr>
      <w:bookmarkStart w:id="0" w:name="_Hlk43886893"/>
      <w:r>
        <w:rPr>
          <w:rFonts w:ascii="Arial" w:eastAsia="Arial" w:hAnsi="Arial" w:cs="Arial"/>
          <w:bdr w:val="nil"/>
          <w:lang w:val="nl-BE"/>
        </w:rPr>
        <w:t xml:space="preserve">De mededeling moeten gedurende de </w:t>
      </w:r>
      <w:r w:rsidRPr="004718CC">
        <w:rPr>
          <w:rFonts w:ascii="Arial" w:eastAsia="Arial" w:hAnsi="Arial" w:cs="Arial"/>
          <w:bdr w:val="nil"/>
          <w:lang w:val="nl-BE"/>
        </w:rPr>
        <w:t>hele aanplakkingsperiode in perfecte staat van zichtbaarheid en leesbaarheid worden bewaard. U moet ze dus zo rangschikken dat ze gemakkelijk te lezen zijn, op een hoogte van 1,50 meter, eventueel op een</w:t>
      </w:r>
      <w:r>
        <w:rPr>
          <w:rFonts w:ascii="Arial" w:eastAsia="Arial" w:hAnsi="Arial" w:cs="Arial"/>
          <w:bdr w:val="nil"/>
          <w:lang w:val="nl-BE"/>
        </w:rPr>
        <w:t xml:space="preserve"> </w:t>
      </w:r>
      <w:r w:rsidRPr="004718CC">
        <w:rPr>
          <w:rFonts w:ascii="Arial" w:eastAsia="Arial" w:hAnsi="Arial" w:cs="Arial"/>
          <w:bdr w:val="nil"/>
          <w:lang w:val="nl-BE"/>
        </w:rPr>
        <w:t>schutting of een paneel op een stok.</w:t>
      </w:r>
    </w:p>
    <w:bookmarkEnd w:id="0"/>
    <w:p w:rsidR="00D237E3" w:rsidRPr="00D91688" w:rsidRDefault="000C216C" w:rsidP="00D237E3">
      <w:pPr>
        <w:jc w:val="both"/>
        <w:rPr>
          <w:rFonts w:ascii="Arial" w:hAnsi="Arial" w:cs="Arial"/>
          <w:lang w:val="nl-BE"/>
        </w:rPr>
      </w:pPr>
      <w:r>
        <w:rPr>
          <w:rFonts w:ascii="Arial" w:eastAsia="Arial" w:hAnsi="Arial" w:cs="Arial"/>
          <w:bdr w:val="nil"/>
          <w:lang w:val="nl-BE"/>
        </w:rPr>
        <w:t>D</w:t>
      </w:r>
      <w:r w:rsidR="00D237E3">
        <w:rPr>
          <w:rFonts w:ascii="Arial" w:eastAsia="Arial" w:hAnsi="Arial" w:cs="Arial"/>
          <w:bdr w:val="nil"/>
          <w:lang w:val="nl-BE"/>
        </w:rPr>
        <w:t>e affiches dienen tweetalig te zijn, u dient dus beide delen (NL+FR) in te vullen.</w:t>
      </w:r>
    </w:p>
    <w:p w:rsidR="00D237E3" w:rsidRPr="00D91688" w:rsidRDefault="00D237E3" w:rsidP="00D237E3">
      <w:pPr>
        <w:jc w:val="both"/>
        <w:rPr>
          <w:rFonts w:ascii="Arial" w:hAnsi="Arial" w:cs="Arial"/>
          <w:lang w:val="nl-BE"/>
        </w:rPr>
      </w:pPr>
      <w:r>
        <w:rPr>
          <w:rFonts w:ascii="Arial" w:eastAsia="Arial" w:hAnsi="Arial" w:cs="Arial"/>
          <w:bdr w:val="nil"/>
          <w:lang w:val="nl-BE"/>
        </w:rPr>
        <w:t xml:space="preserve">De in te vullen of te vervolledigen delen zjin genummerd: </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Doorhalen wat niet van toepassing is</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Het voorwerp en de draagwijdte van de beslissing, en het adres van het goed waarop de beslissing betrekking heeft</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Doorhalen wat niet van toepassing is</w:t>
      </w:r>
    </w:p>
    <w:p w:rsidR="00D237E3" w:rsidRPr="00D91688"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In te vullen door de vergunnende overheid</w:t>
      </w:r>
    </w:p>
    <w:p w:rsidR="00D237E3" w:rsidRPr="00321E18" w:rsidRDefault="00D237E3" w:rsidP="00D237E3">
      <w:pPr>
        <w:pStyle w:val="Paragraphedeliste"/>
        <w:numPr>
          <w:ilvl w:val="0"/>
          <w:numId w:val="2"/>
        </w:numPr>
        <w:jc w:val="both"/>
        <w:rPr>
          <w:rFonts w:ascii="Arial" w:hAnsi="Arial" w:cs="Arial"/>
        </w:rPr>
      </w:pPr>
      <w:r>
        <w:rPr>
          <w:rFonts w:ascii="Arial" w:eastAsia="Arial" w:hAnsi="Arial" w:cs="Arial"/>
          <w:bdr w:val="nil"/>
          <w:lang w:val="nl-BE"/>
        </w:rPr>
        <w:t>Datum van de beslissing</w:t>
      </w:r>
    </w:p>
    <w:p w:rsidR="00D237E3" w:rsidRPr="006E54A5" w:rsidRDefault="00D237E3" w:rsidP="00D237E3">
      <w:pPr>
        <w:pStyle w:val="Paragraphedeliste"/>
        <w:numPr>
          <w:ilvl w:val="0"/>
          <w:numId w:val="2"/>
        </w:numPr>
        <w:jc w:val="both"/>
        <w:rPr>
          <w:rFonts w:ascii="Arial" w:hAnsi="Arial" w:cs="Arial"/>
          <w:lang w:val="nl-BE"/>
        </w:rPr>
      </w:pPr>
      <w:r>
        <w:rPr>
          <w:rFonts w:ascii="Arial" w:eastAsia="Arial" w:hAnsi="Arial" w:cs="Arial"/>
          <w:bdr w:val="nil"/>
          <w:lang w:val="nl-BE"/>
        </w:rPr>
        <w:t>Datums, openingsuren en adres van het bestuur waar de beslissing geraadpleegd kan worden</w:t>
      </w:r>
    </w:p>
    <w:p w:rsidR="006E54A5" w:rsidRPr="00D91688" w:rsidRDefault="006E54A5" w:rsidP="006E54A5">
      <w:pPr>
        <w:pStyle w:val="Paragraphedeliste"/>
        <w:numPr>
          <w:ilvl w:val="0"/>
          <w:numId w:val="2"/>
        </w:numPr>
        <w:jc w:val="both"/>
        <w:rPr>
          <w:rFonts w:ascii="Arial" w:hAnsi="Arial" w:cs="Arial"/>
          <w:lang w:val="nl-BE"/>
        </w:rPr>
      </w:pPr>
      <w:r w:rsidRPr="006E54A5">
        <w:rPr>
          <w:rFonts w:ascii="Arial" w:hAnsi="Arial" w:cs="Arial"/>
          <w:lang w:val="nl-BE"/>
        </w:rPr>
        <w:t>Website invullen waarop de beslissing geraadpleegd kan worden</w:t>
      </w:r>
    </w:p>
    <w:p w:rsidR="00D237E3" w:rsidRPr="00D91688" w:rsidRDefault="00D237E3" w:rsidP="00D237E3">
      <w:pPr>
        <w:jc w:val="both"/>
        <w:rPr>
          <w:rFonts w:ascii="Arial" w:hAnsi="Arial" w:cs="Arial"/>
          <w:b/>
          <w:lang w:val="nl-BE"/>
        </w:rPr>
      </w:pPr>
      <w:r w:rsidRPr="00D91688">
        <w:rPr>
          <w:rFonts w:ascii="Arial" w:hAnsi="Arial" w:cs="Arial"/>
          <w:b/>
          <w:lang w:val="nl-BE"/>
        </w:rPr>
        <w:br w:type="page"/>
      </w:r>
    </w:p>
    <w:p w:rsidR="00D237E3" w:rsidRPr="00D237E3" w:rsidRDefault="00D237E3" w:rsidP="00D237E3">
      <w:pPr>
        <w:pBdr>
          <w:top w:val="single" w:sz="4" w:space="1" w:color="auto"/>
          <w:bottom w:val="single" w:sz="4" w:space="1" w:color="auto"/>
        </w:pBdr>
        <w:jc w:val="center"/>
        <w:rPr>
          <w:rFonts w:ascii="Arial" w:hAnsi="Arial" w:cs="Arial"/>
          <w:b/>
          <w:sz w:val="44"/>
          <w:lang w:val="nl-NL"/>
        </w:rPr>
      </w:pPr>
      <w:bookmarkStart w:id="1" w:name="_GoBack"/>
      <w:bookmarkEnd w:id="1"/>
      <w:r w:rsidRPr="00D237E3">
        <w:rPr>
          <w:rFonts w:ascii="Arial" w:hAnsi="Arial" w:cs="Arial"/>
          <w:b/>
          <w:sz w:val="44"/>
          <w:lang w:val="nl-NL"/>
        </w:rPr>
        <w:lastRenderedPageBreak/>
        <w:t>BERICHT VAN MEDEDELING VAN DE BESLISSING INZAKE STEDENBOUW</w:t>
      </w:r>
    </w:p>
    <w:p w:rsidR="00D237E3" w:rsidRPr="00D237E3" w:rsidRDefault="00D237E3" w:rsidP="00D237E3">
      <w:pPr>
        <w:jc w:val="center"/>
        <w:rPr>
          <w:rFonts w:ascii="Arial" w:hAnsi="Arial" w:cs="Arial"/>
          <w:sz w:val="28"/>
          <w:szCs w:val="28"/>
          <w:lang w:val="nl-NL"/>
        </w:rPr>
      </w:pPr>
      <w:r w:rsidRPr="00D237E3">
        <w:rPr>
          <w:rFonts w:ascii="Arial" w:hAnsi="Arial" w:cs="Arial"/>
          <w:sz w:val="28"/>
          <w:szCs w:val="28"/>
          <w:lang w:val="nl-NL"/>
        </w:rPr>
        <w:t>Toepassing van het besluit van de Brusselse Hoofdstedelijke Regering van 25 april 2019 tot bepaling van de vorm en van de procedures voor de bekendmaking en de terbeschikkingstelling van de beslissingen, genomen door het college van burgemeester en schepenen, de gemachtigde ambtenaar en de Regering inzake stedenbouwkundige vergunningen, verkavelingsvergunningen en stedenbouwkundige attesten</w:t>
      </w:r>
    </w:p>
    <w:p w:rsidR="00D237E3" w:rsidRDefault="00D237E3" w:rsidP="00D237E3">
      <w:pPr>
        <w:jc w:val="both"/>
        <w:rPr>
          <w:rFonts w:ascii="Arial" w:hAnsi="Arial" w:cs="Arial"/>
          <w:b/>
          <w:sz w:val="28"/>
          <w:szCs w:val="28"/>
          <w:lang w:val="nl-NL"/>
        </w:rPr>
      </w:pPr>
    </w:p>
    <w:p w:rsidR="00D237E3" w:rsidRPr="00D237E3" w:rsidRDefault="00D237E3" w:rsidP="00D237E3">
      <w:pPr>
        <w:jc w:val="both"/>
        <w:rPr>
          <w:rFonts w:ascii="Arial" w:hAnsi="Arial" w:cs="Arial"/>
          <w:b/>
          <w:sz w:val="28"/>
          <w:szCs w:val="28"/>
          <w:lang w:val="nl-NL"/>
        </w:rPr>
      </w:pPr>
      <w:r w:rsidRPr="00D237E3">
        <w:rPr>
          <w:rFonts w:ascii="Arial" w:hAnsi="Arial" w:cs="Arial"/>
          <w:b/>
          <w:sz w:val="28"/>
          <w:szCs w:val="28"/>
          <w:lang w:val="nl-NL"/>
        </w:rPr>
        <w:t xml:space="preserve">Een stedenbouwkundige vergunning / stedenbouwkundig attest / verkavelingsvergunning / verkavelingsattest </w:t>
      </w:r>
      <w:r w:rsidRPr="00D237E3">
        <w:rPr>
          <w:rFonts w:ascii="Arial" w:hAnsi="Arial" w:cs="Arial"/>
          <w:sz w:val="28"/>
          <w:szCs w:val="28"/>
          <w:lang w:val="nl-NL"/>
        </w:rPr>
        <w:t>(1)</w:t>
      </w:r>
      <w:r w:rsidRPr="00D237E3">
        <w:rPr>
          <w:rFonts w:ascii="Arial" w:hAnsi="Arial" w:cs="Arial"/>
          <w:b/>
          <w:sz w:val="28"/>
          <w:szCs w:val="28"/>
          <w:lang w:val="nl-NL"/>
        </w:rPr>
        <w:t xml:space="preserve"> met betrekking </w:t>
      </w:r>
      <w:r w:rsidRPr="00D237E3">
        <w:rPr>
          <w:rFonts w:ascii="Arial" w:hAnsi="Arial" w:cs="Arial"/>
          <w:sz w:val="28"/>
          <w:szCs w:val="28"/>
          <w:lang w:val="nl-NL"/>
        </w:rPr>
        <w:t>tot ……………………………………………………………………… ……………………………………....................................................................................................................................................................................................................................................................................(2)</w:t>
      </w:r>
      <w:r w:rsidRPr="00D237E3">
        <w:rPr>
          <w:rFonts w:ascii="Arial" w:hAnsi="Arial" w:cs="Arial"/>
          <w:b/>
          <w:sz w:val="28"/>
          <w:szCs w:val="28"/>
          <w:lang w:val="nl-NL"/>
        </w:rPr>
        <w:t xml:space="preserve"> toegekend / geweigerd werd </w:t>
      </w:r>
      <w:r w:rsidRPr="00D237E3">
        <w:rPr>
          <w:rFonts w:ascii="Arial" w:hAnsi="Arial" w:cs="Arial"/>
          <w:sz w:val="28"/>
          <w:szCs w:val="28"/>
          <w:lang w:val="nl-NL"/>
        </w:rPr>
        <w:t>(3)</w:t>
      </w:r>
      <w:r w:rsidRPr="00D237E3">
        <w:rPr>
          <w:rFonts w:ascii="Arial" w:hAnsi="Arial" w:cs="Arial"/>
          <w:b/>
          <w:sz w:val="28"/>
          <w:szCs w:val="28"/>
          <w:lang w:val="nl-NL"/>
        </w:rPr>
        <w:t xml:space="preserve"> door</w:t>
      </w:r>
      <w:r w:rsidRPr="00D237E3">
        <w:rPr>
          <w:rFonts w:ascii="Arial" w:hAnsi="Arial" w:cs="Arial"/>
          <w:sz w:val="28"/>
          <w:szCs w:val="28"/>
          <w:lang w:val="nl-NL"/>
        </w:rPr>
        <w:t xml:space="preserve"> .........................................</w:t>
      </w:r>
      <w:r w:rsidRPr="00D237E3">
        <w:rPr>
          <w:rFonts w:ascii="Arial" w:hAnsi="Arial" w:cs="Arial"/>
          <w:b/>
          <w:sz w:val="28"/>
          <w:szCs w:val="28"/>
          <w:lang w:val="nl-NL"/>
        </w:rPr>
        <w:t xml:space="preserve"> </w:t>
      </w:r>
      <w:r w:rsidRPr="00D237E3">
        <w:rPr>
          <w:rFonts w:ascii="Arial" w:hAnsi="Arial" w:cs="Arial"/>
          <w:sz w:val="28"/>
          <w:szCs w:val="28"/>
          <w:lang w:val="nl-NL"/>
        </w:rPr>
        <w:t>(4)</w:t>
      </w:r>
      <w:r w:rsidRPr="00D237E3">
        <w:rPr>
          <w:rFonts w:ascii="Arial" w:hAnsi="Arial" w:cs="Arial"/>
          <w:b/>
          <w:sz w:val="28"/>
          <w:szCs w:val="28"/>
          <w:lang w:val="nl-NL"/>
        </w:rPr>
        <w:t xml:space="preserve"> op </w:t>
      </w:r>
      <w:r w:rsidRPr="00D237E3">
        <w:rPr>
          <w:rFonts w:ascii="Arial" w:hAnsi="Arial" w:cs="Arial"/>
          <w:sz w:val="28"/>
          <w:szCs w:val="28"/>
          <w:lang w:val="nl-NL"/>
        </w:rPr>
        <w:t>.......................</w:t>
      </w:r>
      <w:r w:rsidRPr="00D237E3">
        <w:rPr>
          <w:rFonts w:ascii="Arial" w:hAnsi="Arial" w:cs="Arial"/>
          <w:b/>
          <w:sz w:val="28"/>
          <w:szCs w:val="28"/>
          <w:lang w:val="nl-NL"/>
        </w:rPr>
        <w:t xml:space="preserve"> </w:t>
      </w:r>
      <w:r w:rsidRPr="00D237E3">
        <w:rPr>
          <w:rFonts w:ascii="Arial" w:hAnsi="Arial" w:cs="Arial"/>
          <w:sz w:val="28"/>
          <w:szCs w:val="28"/>
          <w:lang w:val="nl-NL"/>
        </w:rPr>
        <w:t>(5).</w:t>
      </w:r>
    </w:p>
    <w:p w:rsidR="00800E3C" w:rsidRDefault="00800E3C" w:rsidP="00D237E3">
      <w:pPr>
        <w:jc w:val="both"/>
        <w:rPr>
          <w:rFonts w:ascii="Arial" w:hAnsi="Arial" w:cs="Arial"/>
          <w:sz w:val="28"/>
          <w:szCs w:val="28"/>
          <w:lang w:val="nl-NL"/>
        </w:rPr>
      </w:pPr>
    </w:p>
    <w:p w:rsidR="006E54A5" w:rsidRDefault="00D237E3" w:rsidP="00D237E3">
      <w:pPr>
        <w:jc w:val="both"/>
        <w:rPr>
          <w:rFonts w:ascii="Arial" w:hAnsi="Arial" w:cs="Arial"/>
          <w:sz w:val="28"/>
          <w:szCs w:val="28"/>
          <w:lang w:val="nl-NL"/>
        </w:rPr>
      </w:pPr>
      <w:r w:rsidRPr="00D237E3">
        <w:rPr>
          <w:rFonts w:ascii="Arial" w:hAnsi="Arial" w:cs="Arial"/>
          <w:sz w:val="28"/>
          <w:szCs w:val="28"/>
          <w:lang w:val="nl-NL"/>
        </w:rPr>
        <w:t xml:space="preserve">De beslissing kan geraadpleegd worden </w:t>
      </w:r>
      <w:r w:rsidR="006E54A5">
        <w:rPr>
          <w:rFonts w:ascii="Arial" w:hAnsi="Arial" w:cs="Arial"/>
          <w:sz w:val="28"/>
          <w:szCs w:val="28"/>
          <w:lang w:val="nl-NL"/>
        </w:rPr>
        <w:t>:</w:t>
      </w:r>
    </w:p>
    <w:p w:rsidR="00D237E3" w:rsidRDefault="00D237E3" w:rsidP="006E54A5">
      <w:pPr>
        <w:pStyle w:val="Paragraphedeliste"/>
        <w:numPr>
          <w:ilvl w:val="0"/>
          <w:numId w:val="9"/>
        </w:numPr>
        <w:jc w:val="both"/>
        <w:rPr>
          <w:rFonts w:ascii="Arial" w:hAnsi="Arial" w:cs="Arial"/>
          <w:sz w:val="28"/>
          <w:szCs w:val="28"/>
          <w:lang w:val="nl-NL"/>
        </w:rPr>
      </w:pPr>
      <w:r w:rsidRPr="006E54A5">
        <w:rPr>
          <w:rFonts w:ascii="Arial" w:hAnsi="Arial" w:cs="Arial"/>
          <w:sz w:val="28"/>
          <w:szCs w:val="28"/>
          <w:lang w:val="nl-NL"/>
        </w:rPr>
        <w:t xml:space="preserve">bij het gemeentebestuur op ....................... (datum) tussen ........................ (uur) en ............................. (uur) </w:t>
      </w:r>
      <w:r w:rsidR="006E54A5">
        <w:rPr>
          <w:rFonts w:ascii="Arial" w:hAnsi="Arial" w:cs="Arial"/>
          <w:sz w:val="28"/>
          <w:szCs w:val="28"/>
          <w:lang w:val="nl-NL"/>
        </w:rPr>
        <w:t>(6)</w:t>
      </w:r>
    </w:p>
    <w:p w:rsidR="006E54A5" w:rsidRPr="006E54A5" w:rsidRDefault="006E54A5" w:rsidP="006E54A5">
      <w:pPr>
        <w:pStyle w:val="Paragraphedeliste"/>
        <w:numPr>
          <w:ilvl w:val="0"/>
          <w:numId w:val="9"/>
        </w:numPr>
        <w:jc w:val="both"/>
        <w:rPr>
          <w:rFonts w:ascii="Arial" w:hAnsi="Arial" w:cs="Arial"/>
          <w:sz w:val="28"/>
          <w:szCs w:val="28"/>
          <w:lang w:val="nl-NL"/>
        </w:rPr>
      </w:pPr>
      <w:r w:rsidRPr="006E54A5">
        <w:rPr>
          <w:rFonts w:ascii="Arial" w:hAnsi="Arial" w:cs="Arial"/>
          <w:sz w:val="28"/>
          <w:szCs w:val="28"/>
          <w:lang w:val="nl-NL"/>
        </w:rPr>
        <w:t>…………………</w:t>
      </w:r>
      <w:r>
        <w:rPr>
          <w:rFonts w:ascii="Arial" w:hAnsi="Arial" w:cs="Arial"/>
          <w:sz w:val="28"/>
          <w:szCs w:val="28"/>
          <w:lang w:val="nl-NL"/>
        </w:rPr>
        <w:t>…………………………………………………………………………..(7</w:t>
      </w:r>
      <w:r w:rsidRPr="006E54A5">
        <w:rPr>
          <w:rFonts w:ascii="Arial" w:hAnsi="Arial" w:cs="Arial"/>
          <w:sz w:val="28"/>
          <w:szCs w:val="28"/>
          <w:lang w:val="nl-NL"/>
        </w:rPr>
        <w:t>)</w:t>
      </w: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p>
    <w:p w:rsidR="00D237E3" w:rsidRPr="00D237E3" w:rsidRDefault="00D237E3" w:rsidP="00D237E3">
      <w:pPr>
        <w:jc w:val="both"/>
        <w:rPr>
          <w:rFonts w:ascii="Arial" w:hAnsi="Arial" w:cs="Arial"/>
          <w:sz w:val="28"/>
          <w:szCs w:val="28"/>
          <w:lang w:val="nl-NL"/>
        </w:rPr>
      </w:pPr>
      <w:r w:rsidRPr="00D237E3">
        <w:rPr>
          <w:rFonts w:ascii="Arial" w:hAnsi="Arial" w:cs="Arial"/>
          <w:sz w:val="28"/>
          <w:szCs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Raad van State, afdeling Bestuursrechtspraak,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 In dat geval dienen bij het aangetekend schrijven 6 eensluidende kopieën van het verzoekschrift gevoegd te worden.</w:t>
      </w:r>
    </w:p>
    <w:p w:rsidR="00D237E3" w:rsidRPr="00D237E3" w:rsidRDefault="00D237E3" w:rsidP="00D237E3">
      <w:pPr>
        <w:jc w:val="both"/>
        <w:rPr>
          <w:rFonts w:ascii="Arial" w:hAnsi="Arial" w:cs="Arial"/>
          <w:sz w:val="28"/>
          <w:szCs w:val="28"/>
          <w:lang w:val="nl-NL"/>
        </w:rPr>
      </w:pPr>
      <w:r w:rsidRPr="00D237E3">
        <w:rPr>
          <w:rFonts w:ascii="Arial" w:hAnsi="Arial" w:cs="Arial"/>
          <w:sz w:val="28"/>
          <w:szCs w:val="28"/>
          <w:lang w:val="nl-NL"/>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7" w:history="1">
        <w:r w:rsidRPr="00D237E3">
          <w:rPr>
            <w:rStyle w:val="Lienhypertexte"/>
            <w:rFonts w:ascii="Arial" w:hAnsi="Arial" w:cs="Arial"/>
            <w:sz w:val="28"/>
            <w:szCs w:val="28"/>
            <w:lang w:val="nl-NL"/>
          </w:rPr>
          <w:t>http://www.raadvst-consetat.be</w:t>
        </w:r>
      </w:hyperlink>
      <w:r w:rsidRPr="00D237E3">
        <w:rPr>
          <w:rFonts w:ascii="Arial" w:hAnsi="Arial" w:cs="Arial"/>
          <w:sz w:val="28"/>
          <w:szCs w:val="28"/>
          <w:lang w:val="nl-NL"/>
        </w:rPr>
        <w:t xml:space="preserve">. </w:t>
      </w:r>
    </w:p>
    <w:p w:rsidR="00D237E3" w:rsidRPr="00D237E3" w:rsidRDefault="00D237E3" w:rsidP="00D237E3">
      <w:pPr>
        <w:jc w:val="both"/>
        <w:rPr>
          <w:rFonts w:ascii="Arial" w:hAnsi="Arial" w:cs="Arial"/>
          <w:sz w:val="28"/>
          <w:szCs w:val="28"/>
          <w:lang w:val="nl-NL"/>
        </w:rPr>
      </w:pPr>
    </w:p>
    <w:p w:rsidR="00D237E3" w:rsidRPr="00D237E3" w:rsidRDefault="00D237E3" w:rsidP="00D237E3">
      <w:pPr>
        <w:rPr>
          <w:rFonts w:ascii="Arial" w:hAnsi="Arial" w:cs="Arial"/>
          <w:sz w:val="28"/>
          <w:szCs w:val="28"/>
          <w:lang w:val="nl-NL"/>
        </w:rPr>
      </w:pPr>
      <w:r w:rsidRPr="00D237E3">
        <w:rPr>
          <w:rFonts w:ascii="Arial" w:hAnsi="Arial" w:cs="Arial"/>
          <w:sz w:val="28"/>
          <w:szCs w:val="28"/>
          <w:lang w:val="nl-NL"/>
        </w:rPr>
        <w:t>Onderhavig bericht wordt uitgehangen van ................ tot.....................</w:t>
      </w:r>
    </w:p>
    <w:p w:rsidR="00D237E3" w:rsidRPr="00D237E3" w:rsidRDefault="00D237E3" w:rsidP="00D237E3">
      <w:pPr>
        <w:rPr>
          <w:rFonts w:ascii="Arial" w:hAnsi="Arial" w:cs="Arial"/>
          <w:sz w:val="28"/>
          <w:szCs w:val="28"/>
          <w:lang w:val="nl-NL"/>
        </w:rPr>
      </w:pPr>
      <w:r w:rsidRPr="00D237E3">
        <w:rPr>
          <w:rFonts w:ascii="Arial" w:hAnsi="Arial" w:cs="Arial"/>
          <w:sz w:val="28"/>
          <w:szCs w:val="28"/>
          <w:lang w:val="nl-NL"/>
        </w:rPr>
        <w:t>door (naam + voornaam):</w:t>
      </w:r>
    </w:p>
    <w:p w:rsidR="00D237E3" w:rsidRPr="00D237E3" w:rsidRDefault="00D237E3" w:rsidP="00D237E3">
      <w:pPr>
        <w:rPr>
          <w:rFonts w:ascii="Arial" w:hAnsi="Arial" w:cs="Arial"/>
          <w:sz w:val="28"/>
          <w:szCs w:val="28"/>
          <w:lang w:val="nl-NL"/>
        </w:rPr>
      </w:pPr>
      <w:r w:rsidRPr="00D237E3">
        <w:rPr>
          <w:rFonts w:ascii="Arial" w:hAnsi="Arial" w:cs="Arial"/>
          <w:sz w:val="28"/>
          <w:szCs w:val="28"/>
          <w:lang w:val="nl-NL"/>
        </w:rPr>
        <w:t>Handtekening:</w:t>
      </w:r>
    </w:p>
    <w:p w:rsidR="00D237E3" w:rsidRPr="00D237E3" w:rsidRDefault="00D237E3">
      <w:pPr>
        <w:rPr>
          <w:lang w:val="nl-BE"/>
        </w:rPr>
      </w:pPr>
    </w:p>
    <w:sectPr w:rsidR="00D237E3" w:rsidRPr="00D237E3" w:rsidSect="00D237E3">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AE5" w:rsidRDefault="00515AE5" w:rsidP="00515AE5">
      <w:pPr>
        <w:spacing w:after="0" w:line="240" w:lineRule="auto"/>
      </w:pPr>
      <w:r>
        <w:separator/>
      </w:r>
    </w:p>
  </w:endnote>
  <w:endnote w:type="continuationSeparator" w:id="0">
    <w:p w:rsidR="00515AE5" w:rsidRDefault="00515AE5" w:rsidP="0051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AE5" w:rsidRDefault="00515AE5" w:rsidP="00515AE5">
      <w:pPr>
        <w:spacing w:after="0" w:line="240" w:lineRule="auto"/>
      </w:pPr>
      <w:r>
        <w:separator/>
      </w:r>
    </w:p>
  </w:footnote>
  <w:footnote w:type="continuationSeparator" w:id="0">
    <w:p w:rsidR="00515AE5" w:rsidRDefault="00515AE5" w:rsidP="00515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C01"/>
    <w:multiLevelType w:val="hybridMultilevel"/>
    <w:tmpl w:val="B46894C6"/>
    <w:lvl w:ilvl="0" w:tplc="3DECF018">
      <w:start w:val="1"/>
      <w:numFmt w:val="bullet"/>
      <w:lvlText w:val=""/>
      <w:lvlJc w:val="left"/>
      <w:pPr>
        <w:ind w:left="720" w:hanging="360"/>
      </w:pPr>
      <w:rPr>
        <w:rFonts w:ascii="Symbol" w:hAnsi="Symbol" w:hint="default"/>
      </w:rPr>
    </w:lvl>
    <w:lvl w:ilvl="1" w:tplc="3DECF01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C229B6"/>
    <w:multiLevelType w:val="hybridMultilevel"/>
    <w:tmpl w:val="AD760C02"/>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712518"/>
    <w:multiLevelType w:val="hybridMultilevel"/>
    <w:tmpl w:val="6310DBE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AB5C13"/>
    <w:multiLevelType w:val="hybridMultilevel"/>
    <w:tmpl w:val="3F262388"/>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87A1BDA"/>
    <w:multiLevelType w:val="hybridMultilevel"/>
    <w:tmpl w:val="7A50D6AC"/>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541E88"/>
    <w:multiLevelType w:val="hybridMultilevel"/>
    <w:tmpl w:val="6D969348"/>
    <w:lvl w:ilvl="0" w:tplc="3DECF018">
      <w:start w:val="1"/>
      <w:numFmt w:val="bullet"/>
      <w:lvlText w:val=""/>
      <w:lvlJc w:val="left"/>
      <w:pPr>
        <w:ind w:left="720" w:hanging="360"/>
      </w:pPr>
      <w:rPr>
        <w:rFonts w:ascii="Symbol" w:hAnsi="Symbol" w:hint="default"/>
      </w:rPr>
    </w:lvl>
    <w:lvl w:ilvl="1" w:tplc="3DECF01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AA4C15"/>
    <w:multiLevelType w:val="hybridMultilevel"/>
    <w:tmpl w:val="1B1C7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C43718"/>
    <w:multiLevelType w:val="hybridMultilevel"/>
    <w:tmpl w:val="6310DBE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22207CB"/>
    <w:multiLevelType w:val="hybridMultilevel"/>
    <w:tmpl w:val="525CFA10"/>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6"/>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E3"/>
    <w:rsid w:val="00012D2A"/>
    <w:rsid w:val="000C216C"/>
    <w:rsid w:val="004718CC"/>
    <w:rsid w:val="00487215"/>
    <w:rsid w:val="00515AE5"/>
    <w:rsid w:val="006E54A5"/>
    <w:rsid w:val="00704CA1"/>
    <w:rsid w:val="00800E3C"/>
    <w:rsid w:val="00992F7B"/>
    <w:rsid w:val="009E3E66"/>
    <w:rsid w:val="009F6666"/>
    <w:rsid w:val="00AC3546"/>
    <w:rsid w:val="00B1771E"/>
    <w:rsid w:val="00D237E3"/>
    <w:rsid w:val="00F168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6444"/>
  <w15:chartTrackingRefBased/>
  <w15:docId w15:val="{988A46DF-ED51-4A68-BACE-DBB06E3F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7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37E3"/>
    <w:pPr>
      <w:ind w:left="720"/>
      <w:contextualSpacing/>
    </w:pPr>
  </w:style>
  <w:style w:type="character" w:styleId="Lienhypertexte">
    <w:name w:val="Hyperlink"/>
    <w:basedOn w:val="Policepardfaut"/>
    <w:uiPriority w:val="99"/>
    <w:unhideWhenUsed/>
    <w:rsid w:val="00D23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advst-conseta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POCHET, Simon</cp:lastModifiedBy>
  <cp:revision>3</cp:revision>
  <dcterms:created xsi:type="dcterms:W3CDTF">2021-01-20T07:50:00Z</dcterms:created>
  <dcterms:modified xsi:type="dcterms:W3CDTF">2021-01-20T07:50:00Z</dcterms:modified>
</cp:coreProperties>
</file>