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69" w:rsidRPr="00D86D5B" w:rsidRDefault="00AA4B96" w:rsidP="005E7C6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lang w:val="nl-NL"/>
        </w:rPr>
      </w:pPr>
      <w:bookmarkStart w:id="0" w:name="_GoBack"/>
      <w:r>
        <w:rPr>
          <w:rFonts w:ascii="Calibri" w:eastAsia="Calibri" w:hAnsi="Calibri" w:cs="Calibri"/>
          <w:b/>
          <w:bCs/>
          <w:lang w:val="nl-BE"/>
        </w:rPr>
        <w:t>Aanvulling bij de verklar</w:t>
      </w:r>
      <w:r w:rsidR="002071AB">
        <w:rPr>
          <w:rFonts w:ascii="Calibri" w:eastAsia="Calibri" w:hAnsi="Calibri" w:cs="Calibri"/>
          <w:b/>
          <w:bCs/>
          <w:lang w:val="nl-BE"/>
        </w:rPr>
        <w:t>ende nota voor aanvraagdossiers</w:t>
      </w:r>
    </w:p>
    <w:bookmarkEnd w:id="0"/>
    <w:p w:rsidR="00CF76C9" w:rsidRPr="00D86D5B" w:rsidRDefault="00AA4B96" w:rsidP="005E7C6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lang w:val="nl-NL"/>
        </w:rPr>
      </w:pPr>
      <w:r>
        <w:rPr>
          <w:rFonts w:ascii="Calibri" w:eastAsia="Calibri" w:hAnsi="Calibri" w:cs="Calibri"/>
          <w:b/>
          <w:bCs/>
          <w:lang w:val="nl-BE"/>
        </w:rPr>
        <w:t>van stedebouwkundige vergu</w:t>
      </w:r>
      <w:r w:rsidR="002071AB">
        <w:rPr>
          <w:rFonts w:ascii="Calibri" w:eastAsia="Calibri" w:hAnsi="Calibri" w:cs="Calibri"/>
          <w:b/>
          <w:bCs/>
          <w:lang w:val="nl-BE"/>
        </w:rPr>
        <w:t xml:space="preserve">nningen met betrekking tot een </w:t>
      </w:r>
      <w:r>
        <w:rPr>
          <w:rFonts w:ascii="Calibri" w:eastAsia="Calibri" w:hAnsi="Calibri" w:cs="Calibri"/>
          <w:b/>
          <w:bCs/>
          <w:lang w:val="nl-BE"/>
        </w:rPr>
        <w:t>project voor een handelsvestiging</w:t>
      </w:r>
    </w:p>
    <w:p w:rsidR="00CF76C9" w:rsidRPr="00D86D5B" w:rsidRDefault="00EA0F3E" w:rsidP="00CF76C9">
      <w:pPr>
        <w:spacing w:after="0" w:line="240" w:lineRule="auto"/>
        <w:rPr>
          <w:sz w:val="20"/>
          <w:szCs w:val="20"/>
          <w:lang w:val="nl-NL"/>
        </w:rPr>
      </w:pPr>
    </w:p>
    <w:p w:rsidR="005E7C69" w:rsidRPr="00D86D5B" w:rsidRDefault="00AA4B96" w:rsidP="005E7C69">
      <w:pPr>
        <w:spacing w:after="0" w:line="240" w:lineRule="auto"/>
        <w:rPr>
          <w:lang w:val="nl-NL"/>
        </w:rPr>
      </w:pPr>
      <w:r>
        <w:rPr>
          <w:rFonts w:ascii="Calibri" w:eastAsia="Calibri" w:hAnsi="Calibri" w:cs="Calibri"/>
          <w:i/>
          <w:iCs/>
          <w:lang w:val="nl-BE"/>
        </w:rPr>
        <w:t>Aanvrager</w:t>
      </w:r>
      <w:r>
        <w:rPr>
          <w:rFonts w:ascii="Calibri" w:eastAsia="Calibri" w:hAnsi="Calibri" w:cs="Calibri"/>
          <w:lang w:val="nl-BE"/>
        </w:rPr>
        <w:t xml:space="preserve"> </w:t>
      </w:r>
      <w:r>
        <w:rPr>
          <w:rFonts w:ascii="Calibri" w:eastAsia="Calibri" w:hAnsi="Calibri" w:cs="Calibri"/>
          <w:i/>
          <w:iCs/>
          <w:lang w:val="nl-BE"/>
        </w:rPr>
        <w:t>van de stedenbouwkundige vergunning</w:t>
      </w:r>
      <w:r w:rsidR="002071AB">
        <w:rPr>
          <w:rFonts w:ascii="Calibri" w:eastAsia="Calibri" w:hAnsi="Calibri" w:cs="Calibri"/>
          <w:lang w:val="nl-BE"/>
        </w:rPr>
        <w:t>:</w:t>
      </w:r>
    </w:p>
    <w:p w:rsidR="005E7C69" w:rsidRPr="00D86D5B" w:rsidRDefault="00AA4B96" w:rsidP="005E7C69">
      <w:pPr>
        <w:spacing w:after="0" w:line="240" w:lineRule="auto"/>
        <w:rPr>
          <w:lang w:val="nl-NL"/>
        </w:rPr>
      </w:pPr>
      <w:r>
        <w:rPr>
          <w:rFonts w:ascii="Calibri" w:eastAsia="Calibri" w:hAnsi="Calibri" w:cs="Calibri"/>
          <w:i/>
          <w:iCs/>
          <w:lang w:val="nl-BE"/>
        </w:rPr>
        <w:t>Ligging van de aanvraag</w:t>
      </w:r>
      <w:r w:rsidR="002071AB">
        <w:rPr>
          <w:rFonts w:ascii="Calibri" w:eastAsia="Calibri" w:hAnsi="Calibri" w:cs="Calibri"/>
          <w:lang w:val="nl-BE"/>
        </w:rPr>
        <w:t>:</w:t>
      </w:r>
    </w:p>
    <w:p w:rsidR="005E7C69" w:rsidRPr="00D86D5B" w:rsidRDefault="00AA4B96" w:rsidP="005E7C69">
      <w:pPr>
        <w:spacing w:after="0" w:line="240" w:lineRule="auto"/>
        <w:rPr>
          <w:lang w:val="nl-NL"/>
        </w:rPr>
      </w:pPr>
      <w:r>
        <w:rPr>
          <w:rFonts w:ascii="Calibri" w:eastAsia="Calibri" w:hAnsi="Calibri" w:cs="Calibri"/>
          <w:i/>
          <w:iCs/>
          <w:lang w:val="nl-BE"/>
        </w:rPr>
        <w:t>Voorwerp van de aanvraag</w:t>
      </w:r>
      <w:r w:rsidR="002071AB">
        <w:rPr>
          <w:rFonts w:ascii="Calibri" w:eastAsia="Calibri" w:hAnsi="Calibri" w:cs="Calibri"/>
          <w:lang w:val="nl-BE"/>
        </w:rPr>
        <w:t>:</w:t>
      </w:r>
    </w:p>
    <w:p w:rsidR="005E7C69" w:rsidRPr="00D86D5B" w:rsidRDefault="00AA4B96" w:rsidP="005E7C69">
      <w:pPr>
        <w:spacing w:after="0" w:line="240" w:lineRule="auto"/>
        <w:rPr>
          <w:lang w:val="nl-NL"/>
        </w:rPr>
      </w:pPr>
      <w:r>
        <w:rPr>
          <w:rFonts w:ascii="Calibri" w:eastAsia="Calibri" w:hAnsi="Calibri" w:cs="Calibri"/>
          <w:i/>
          <w:iCs/>
          <w:lang w:val="nl-BE"/>
        </w:rPr>
        <w:t>Refertes van het dossier</w:t>
      </w:r>
      <w:r>
        <w:rPr>
          <w:rFonts w:ascii="Calibri" w:eastAsia="Calibri" w:hAnsi="Calibri" w:cs="Calibri"/>
          <w:lang w:val="nl-BE"/>
        </w:rPr>
        <w:t>:</w:t>
      </w:r>
    </w:p>
    <w:p w:rsidR="005E7C69" w:rsidRPr="00D86D5B" w:rsidRDefault="00EA0F3E" w:rsidP="005E7C69">
      <w:pPr>
        <w:spacing w:after="0" w:line="240" w:lineRule="auto"/>
        <w:jc w:val="both"/>
        <w:rPr>
          <w:sz w:val="20"/>
          <w:szCs w:val="20"/>
          <w:lang w:val="nl-NL"/>
        </w:rPr>
      </w:pPr>
    </w:p>
    <w:p w:rsidR="00A42E9A" w:rsidRPr="00D86D5B" w:rsidRDefault="00AA4B96" w:rsidP="005E7C69">
      <w:pPr>
        <w:spacing w:after="0" w:line="240" w:lineRule="auto"/>
        <w:jc w:val="both"/>
        <w:rPr>
          <w:lang w:val="nl-NL"/>
        </w:rPr>
      </w:pPr>
      <w:r>
        <w:rPr>
          <w:rFonts w:ascii="Calibri" w:eastAsia="Calibri" w:hAnsi="Calibri" w:cs="Calibri"/>
          <w:b/>
          <w:bCs/>
          <w:u w:val="single"/>
          <w:lang w:val="nl-BE"/>
        </w:rPr>
        <w:t>De verklarende nota</w:t>
      </w:r>
      <w:r>
        <w:rPr>
          <w:rFonts w:ascii="Calibri" w:eastAsia="Calibri" w:hAnsi="Calibri" w:cs="Calibri"/>
          <w:lang w:val="nl-BE"/>
        </w:rPr>
        <w:t xml:space="preserve"> waarin de voornaamste opties van het project worden gedetailleerd en die in het dossier voor het aanvragen van een stedenbouwkundige vergunning opgenomen moet worden overeenkomstig artikel 5, 2° van het besluit van 12/12/2013 tot vaststelling van de samenstelling van het dossier van de aanvraag voor een stedenbouwkundige vergunning, </w:t>
      </w:r>
      <w:r>
        <w:rPr>
          <w:rFonts w:ascii="Calibri" w:eastAsia="Calibri" w:hAnsi="Calibri" w:cs="Calibri"/>
          <w:b/>
          <w:bCs/>
          <w:u w:val="single"/>
          <w:lang w:val="nl-BE"/>
        </w:rPr>
        <w:t>moet aangevuld worden in het geval van</w:t>
      </w:r>
      <w:r>
        <w:rPr>
          <w:rFonts w:ascii="Calibri" w:eastAsia="Calibri" w:hAnsi="Calibri" w:cs="Calibri"/>
          <w:lang w:val="nl-BE"/>
        </w:rPr>
        <w:t> :</w:t>
      </w:r>
    </w:p>
    <w:p w:rsidR="005E7C69" w:rsidRPr="00D86D5B" w:rsidRDefault="00EA0F3E" w:rsidP="005E7C69">
      <w:pPr>
        <w:spacing w:after="0" w:line="240" w:lineRule="auto"/>
        <w:jc w:val="both"/>
        <w:rPr>
          <w:sz w:val="20"/>
          <w:szCs w:val="20"/>
          <w:lang w:val="nl-NL"/>
        </w:rPr>
      </w:pPr>
    </w:p>
    <w:p w:rsidR="005E7C69" w:rsidRPr="00D86D5B" w:rsidRDefault="002071AB" w:rsidP="005E7C69">
      <w:pPr>
        <w:pStyle w:val="Paragraphedeliste"/>
        <w:numPr>
          <w:ilvl w:val="0"/>
          <w:numId w:val="2"/>
        </w:numPr>
        <w:spacing w:after="0" w:line="240" w:lineRule="auto"/>
        <w:jc w:val="both"/>
        <w:rPr>
          <w:lang w:val="nl-NL"/>
        </w:rPr>
      </w:pPr>
      <w:r>
        <w:rPr>
          <w:rFonts w:ascii="Calibri" w:eastAsia="Calibri" w:hAnsi="Calibri" w:cs="Calibri"/>
          <w:lang w:val="nl-BE"/>
        </w:rPr>
        <w:t>een "</w:t>
      </w:r>
      <w:r w:rsidR="00AA4B96">
        <w:rPr>
          <w:rFonts w:ascii="Calibri" w:eastAsia="Calibri" w:hAnsi="Calibri" w:cs="Calibri"/>
          <w:u w:val="dotted"/>
          <w:lang w:val="nl-BE"/>
        </w:rPr>
        <w:t>project voor een handelsvestiging</w:t>
      </w:r>
      <w:r w:rsidR="00AA4B96">
        <w:rPr>
          <w:rFonts w:ascii="Calibri" w:eastAsia="Calibri" w:hAnsi="Calibri" w:cs="Calibri"/>
          <w:lang w:val="nl-BE"/>
        </w:rPr>
        <w:t>"</w:t>
      </w:r>
      <w:r w:rsidR="00AA4B96">
        <w:rPr>
          <w:rStyle w:val="Appelnotedebasdep"/>
        </w:rPr>
        <w:footnoteReference w:id="1"/>
      </w:r>
      <w:r w:rsidR="00AA4B96">
        <w:rPr>
          <w:rFonts w:ascii="Calibri" w:eastAsia="Calibri" w:hAnsi="Calibri" w:cs="Calibri"/>
          <w:lang w:val="nl-BE"/>
        </w:rPr>
        <w:t xml:space="preserve"> in de zin van artikel 4/2 van het Brussels Wetboek van Ruimtelijke Ordening (BWRO),</w:t>
      </w:r>
    </w:p>
    <w:p w:rsidR="005E7C69" w:rsidRPr="00D86D5B" w:rsidRDefault="00D86D5B" w:rsidP="00D86D5B">
      <w:pPr>
        <w:spacing w:after="0" w:line="240" w:lineRule="auto"/>
        <w:ind w:left="360"/>
        <w:jc w:val="both"/>
        <w:rPr>
          <w:u w:val="dotted"/>
        </w:rPr>
      </w:pPr>
      <w:r w:rsidRPr="00D86D5B">
        <w:rPr>
          <w:u w:val="dotted"/>
        </w:rPr>
        <w:t>EN</w:t>
      </w:r>
    </w:p>
    <w:p w:rsidR="005E7C69" w:rsidRPr="00D86D5B" w:rsidRDefault="00AA4B96" w:rsidP="005E7C69">
      <w:pPr>
        <w:pStyle w:val="Paragraphedeliste"/>
        <w:numPr>
          <w:ilvl w:val="0"/>
          <w:numId w:val="2"/>
        </w:numPr>
        <w:spacing w:after="0" w:line="240" w:lineRule="auto"/>
        <w:jc w:val="both"/>
        <w:rPr>
          <w:lang w:val="nl-NL"/>
        </w:rPr>
      </w:pPr>
      <w:r>
        <w:rPr>
          <w:rFonts w:ascii="Calibri" w:eastAsia="Calibri" w:hAnsi="Calibri" w:cs="Calibri"/>
          <w:lang w:val="nl-BE"/>
        </w:rPr>
        <w:t>met een "netto handelsoppervlakte"</w:t>
      </w:r>
      <w:r>
        <w:rPr>
          <w:rStyle w:val="Appelnotedebasdep"/>
        </w:rPr>
        <w:footnoteReference w:id="2"/>
      </w:r>
      <w:r>
        <w:rPr>
          <w:rFonts w:ascii="Calibri" w:eastAsia="Calibri" w:hAnsi="Calibri" w:cs="Calibri"/>
          <w:lang w:val="nl-BE"/>
        </w:rPr>
        <w:t xml:space="preserve"> </w:t>
      </w:r>
      <w:r>
        <w:rPr>
          <w:rFonts w:ascii="Calibri" w:eastAsia="Calibri" w:hAnsi="Calibri" w:cs="Calibri"/>
          <w:u w:val="dotted"/>
          <w:lang w:val="nl-BE"/>
        </w:rPr>
        <w:t>van 400 m² tot 1000 m²</w:t>
      </w:r>
      <w:r>
        <w:rPr>
          <w:rFonts w:ascii="Calibri" w:eastAsia="Calibri" w:hAnsi="Calibri" w:cs="Calibri"/>
          <w:lang w:val="nl-BE"/>
        </w:rPr>
        <w:t xml:space="preserve"> (met inbegrip van uitbreidin</w:t>
      </w:r>
      <w:r>
        <w:rPr>
          <w:rFonts w:ascii="Calibri" w:eastAsia="Calibri" w:hAnsi="Calibri" w:cs="Calibri"/>
          <w:lang w:val="nl-BE"/>
        </w:rPr>
        <w:softHyphen/>
        <w:t>gen die minder dan 400 m² beslaan maar die de bestaande handelsoppervlakte om meer dan 400 m² brengen),</w:t>
      </w:r>
    </w:p>
    <w:p w:rsidR="005E7C69" w:rsidRPr="00D86D5B" w:rsidRDefault="00D86D5B" w:rsidP="00D86D5B">
      <w:pPr>
        <w:ind w:left="360"/>
        <w:rPr>
          <w:u w:val="dotted"/>
          <w:lang w:val="nl-NL"/>
        </w:rPr>
      </w:pPr>
      <w:r w:rsidRPr="00D86D5B">
        <w:rPr>
          <w:u w:val="dotted"/>
          <w:lang w:val="nl-NL"/>
        </w:rPr>
        <w:t>EN</w:t>
      </w:r>
    </w:p>
    <w:p w:rsidR="005E7C69" w:rsidRPr="00D86D5B" w:rsidRDefault="00AA4B96" w:rsidP="005E7C69">
      <w:pPr>
        <w:pStyle w:val="Paragraphedeliste"/>
        <w:numPr>
          <w:ilvl w:val="0"/>
          <w:numId w:val="2"/>
        </w:numPr>
        <w:spacing w:after="0" w:line="240" w:lineRule="auto"/>
        <w:jc w:val="both"/>
        <w:rPr>
          <w:lang w:val="nl-NL"/>
        </w:rPr>
      </w:pPr>
      <w:r>
        <w:rPr>
          <w:rFonts w:ascii="Calibri" w:eastAsia="Calibri" w:hAnsi="Calibri" w:cs="Calibri"/>
          <w:u w:val="dotted"/>
          <w:lang w:val="nl-BE"/>
        </w:rPr>
        <w:t>waarvoor geen milieueffectenverslag of milieueffectenstudie vereist is</w:t>
      </w:r>
      <w:r>
        <w:rPr>
          <w:rStyle w:val="Appelnotedebasdep"/>
          <w:u w:val="dotted"/>
        </w:rPr>
        <w:footnoteReference w:id="3"/>
      </w:r>
      <w:r>
        <w:rPr>
          <w:rFonts w:ascii="Calibri" w:eastAsia="Calibri" w:hAnsi="Calibri" w:cs="Calibri"/>
          <w:lang w:val="nl-BE"/>
        </w:rPr>
        <w:t>.</w:t>
      </w:r>
    </w:p>
    <w:p w:rsidR="005E7C69" w:rsidRPr="00D86D5B" w:rsidRDefault="00EA0F3E" w:rsidP="005E7C69">
      <w:pPr>
        <w:spacing w:after="0" w:line="240" w:lineRule="auto"/>
        <w:jc w:val="both"/>
        <w:rPr>
          <w:sz w:val="20"/>
          <w:szCs w:val="20"/>
          <w:lang w:val="nl-NL"/>
        </w:rPr>
      </w:pPr>
    </w:p>
    <w:p w:rsidR="005E7C69" w:rsidRPr="00D86D5B" w:rsidRDefault="00AA4B96" w:rsidP="005E7C69">
      <w:pPr>
        <w:spacing w:after="0" w:line="240" w:lineRule="auto"/>
        <w:jc w:val="both"/>
        <w:rPr>
          <w:lang w:val="nl-NL"/>
        </w:rPr>
      </w:pPr>
      <w:r>
        <w:rPr>
          <w:rFonts w:ascii="Calibri" w:eastAsia="Calibri" w:hAnsi="Calibri" w:cs="Calibri"/>
          <w:lang w:val="nl-BE"/>
        </w:rPr>
        <w:t xml:space="preserve">In dat geval vult de aanvrager van de stedenbouwkundige vergunning de verklarende nota aan </w:t>
      </w:r>
      <w:r>
        <w:rPr>
          <w:rFonts w:ascii="Calibri" w:eastAsia="Calibri" w:hAnsi="Calibri" w:cs="Calibri"/>
          <w:b/>
          <w:bCs/>
          <w:u w:val="single"/>
          <w:lang w:val="nl-BE"/>
        </w:rPr>
        <w:t>met volgende gegevens</w:t>
      </w:r>
      <w:r>
        <w:rPr>
          <w:rFonts w:ascii="Calibri" w:eastAsia="Calibri" w:hAnsi="Calibri" w:cs="Calibri"/>
          <w:lang w:val="nl-BE"/>
        </w:rPr>
        <w:t xml:space="preserve"> : </w:t>
      </w:r>
    </w:p>
    <w:p w:rsidR="005E7C69" w:rsidRPr="00D86D5B" w:rsidRDefault="00EA0F3E" w:rsidP="005E7C69">
      <w:pPr>
        <w:spacing w:after="0" w:line="240" w:lineRule="auto"/>
        <w:jc w:val="both"/>
        <w:rPr>
          <w:sz w:val="20"/>
          <w:szCs w:val="20"/>
          <w:lang w:val="nl-NL"/>
        </w:rPr>
      </w:pPr>
    </w:p>
    <w:p w:rsidR="005E7C69" w:rsidRPr="00D86D5B" w:rsidRDefault="00AA4B96" w:rsidP="005E7C69">
      <w:pPr>
        <w:pStyle w:val="Paragraphedeliste"/>
        <w:numPr>
          <w:ilvl w:val="0"/>
          <w:numId w:val="3"/>
        </w:numPr>
        <w:spacing w:after="0" w:line="240" w:lineRule="auto"/>
        <w:jc w:val="both"/>
        <w:rPr>
          <w:lang w:val="nl-NL"/>
        </w:rPr>
      </w:pPr>
      <w:r>
        <w:rPr>
          <w:rFonts w:ascii="Calibri" w:eastAsia="Calibri" w:hAnsi="Calibri" w:cs="Calibri"/>
          <w:lang w:val="nl-BE"/>
        </w:rPr>
        <w:t xml:space="preserve">De </w:t>
      </w:r>
      <w:r>
        <w:rPr>
          <w:rFonts w:ascii="Calibri" w:eastAsia="Calibri" w:hAnsi="Calibri" w:cs="Calibri"/>
          <w:u w:val="single"/>
          <w:lang w:val="nl-BE"/>
        </w:rPr>
        <w:t>netto handelsoppervlakte</w:t>
      </w:r>
      <w:r>
        <w:rPr>
          <w:rFonts w:ascii="Calibri" w:eastAsia="Calibri" w:hAnsi="Calibri" w:cs="Calibri"/>
          <w:lang w:val="nl-BE"/>
        </w:rPr>
        <w:t xml:space="preserve"> van het project voor een handelsvestiging: ……………………………… </w:t>
      </w:r>
    </w:p>
    <w:p w:rsidR="005E7C69" w:rsidRPr="00D86D5B" w:rsidRDefault="00EA0F3E" w:rsidP="005E7C69">
      <w:pPr>
        <w:pStyle w:val="Paragraphedeliste"/>
        <w:spacing w:after="0" w:line="240" w:lineRule="auto"/>
        <w:jc w:val="both"/>
        <w:rPr>
          <w:sz w:val="20"/>
          <w:szCs w:val="20"/>
          <w:lang w:val="nl-NL"/>
        </w:rPr>
      </w:pPr>
    </w:p>
    <w:p w:rsidR="00A42E9A" w:rsidRPr="00D86D5B" w:rsidRDefault="00AA4B96" w:rsidP="00C87544">
      <w:pPr>
        <w:pStyle w:val="Paragraphedeliste"/>
        <w:numPr>
          <w:ilvl w:val="0"/>
          <w:numId w:val="3"/>
        </w:numPr>
        <w:spacing w:after="0" w:line="240" w:lineRule="auto"/>
        <w:jc w:val="both"/>
        <w:rPr>
          <w:lang w:val="nl-NL"/>
        </w:rPr>
      </w:pPr>
      <w:r w:rsidRPr="00C21757">
        <w:rPr>
          <w:rFonts w:ascii="Calibri" w:eastAsia="Calibri" w:hAnsi="Calibri" w:cs="Calibri"/>
          <w:lang w:val="nl-BE"/>
        </w:rPr>
        <w:t xml:space="preserve">De </w:t>
      </w:r>
      <w:r w:rsidRPr="00C21757">
        <w:rPr>
          <w:rFonts w:ascii="Calibri" w:eastAsia="Calibri" w:hAnsi="Calibri" w:cs="Calibri"/>
          <w:u w:val="single"/>
          <w:lang w:val="nl-BE"/>
        </w:rPr>
        <w:t>gevolgen van het project voor een handelsvestiging</w:t>
      </w:r>
      <w:r w:rsidRPr="00C21757">
        <w:rPr>
          <w:rFonts w:ascii="Calibri" w:eastAsia="Calibri" w:hAnsi="Calibri" w:cs="Calibri"/>
          <w:lang w:val="nl-BE"/>
        </w:rPr>
        <w:t xml:space="preserve"> </w:t>
      </w:r>
      <w:r w:rsidR="003B4D21" w:rsidRPr="00C87544">
        <w:rPr>
          <w:rFonts w:ascii="Calibri" w:eastAsia="Calibri" w:hAnsi="Calibri" w:cs="Calibri"/>
          <w:lang w:val="nl-BE"/>
        </w:rPr>
        <w:t xml:space="preserve">met name </w:t>
      </w:r>
      <w:r w:rsidRPr="00C21757">
        <w:rPr>
          <w:rFonts w:ascii="Calibri" w:eastAsia="Calibri" w:hAnsi="Calibri" w:cs="Calibri"/>
          <w:lang w:val="nl-BE"/>
        </w:rPr>
        <w:t>wat betreft de bescherming van de consument, de veiligheid, de gezondheidsrisico’s ter plaatse en in de omgeving, de omstan</w:t>
      </w:r>
      <w:r w:rsidR="002071AB" w:rsidRPr="00C21757">
        <w:rPr>
          <w:rFonts w:ascii="Calibri" w:eastAsia="Calibri" w:hAnsi="Calibri" w:cs="Calibri"/>
          <w:lang w:val="nl-BE"/>
        </w:rPr>
        <w:softHyphen/>
      </w:r>
      <w:r w:rsidRPr="00C21757">
        <w:rPr>
          <w:rFonts w:ascii="Calibri" w:eastAsia="Calibri" w:hAnsi="Calibri" w:cs="Calibri"/>
          <w:lang w:val="nl-BE"/>
        </w:rPr>
        <w:t>digheden voor het verkeer, de bereikbaarheid en het parkeren, alsook de integratie van dergelijke projecten in hun stedelijke omgeving: ..........</w:t>
      </w:r>
      <w:r w:rsidR="002071AB" w:rsidRPr="00C21757">
        <w:rPr>
          <w:rFonts w:ascii="Calibri" w:eastAsia="Calibri" w:hAnsi="Calibri" w:cs="Calibri"/>
          <w:lang w:val="nl-BE"/>
        </w:rPr>
        <w:t>..………………………………………………………</w:t>
      </w:r>
      <w:r w:rsidRPr="00C21757">
        <w:rPr>
          <w:rFonts w:ascii="Calibri" w:eastAsia="Calibri" w:hAnsi="Calibri" w:cs="Calibri"/>
          <w:lang w:val="nl-BE"/>
        </w:rPr>
        <w:t>.</w:t>
      </w:r>
    </w:p>
    <w:sectPr w:rsidR="00A42E9A" w:rsidRPr="00D86D5B" w:rsidSect="00F521FE">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3E" w:rsidRDefault="00EA0F3E">
      <w:pPr>
        <w:spacing w:after="0" w:line="240" w:lineRule="auto"/>
      </w:pPr>
      <w:r>
        <w:separator/>
      </w:r>
    </w:p>
  </w:endnote>
  <w:endnote w:type="continuationSeparator" w:id="0">
    <w:p w:rsidR="00EA0F3E" w:rsidRDefault="00EA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3E" w:rsidRDefault="00EA0F3E" w:rsidP="005E7C69">
      <w:pPr>
        <w:spacing w:after="0" w:line="240" w:lineRule="auto"/>
      </w:pPr>
      <w:r>
        <w:separator/>
      </w:r>
    </w:p>
  </w:footnote>
  <w:footnote w:type="continuationSeparator" w:id="0">
    <w:p w:rsidR="00EA0F3E" w:rsidRDefault="00EA0F3E" w:rsidP="005E7C69">
      <w:pPr>
        <w:spacing w:after="0" w:line="240" w:lineRule="auto"/>
      </w:pPr>
      <w:r>
        <w:continuationSeparator/>
      </w:r>
    </w:p>
  </w:footnote>
  <w:footnote w:id="1">
    <w:p w:rsidR="005E7C69" w:rsidRPr="00D86D5B" w:rsidRDefault="00AA4B96" w:rsidP="005E7C69">
      <w:pPr>
        <w:pStyle w:val="Notedebasdepage"/>
        <w:jc w:val="both"/>
        <w:rPr>
          <w:i/>
          <w:sz w:val="18"/>
          <w:szCs w:val="18"/>
          <w:u w:val="single"/>
          <w:lang w:val="nl-NL"/>
        </w:rPr>
      </w:pPr>
      <w:r w:rsidRPr="00D86D5B">
        <w:rPr>
          <w:rStyle w:val="Appelnotedebasdep"/>
          <w:b/>
        </w:rPr>
        <w:footnoteRef/>
      </w:r>
      <w:r w:rsidRPr="00D86D5B">
        <w:rPr>
          <w:rFonts w:ascii="Calibri" w:eastAsia="Calibri" w:hAnsi="Calibri" w:cs="Calibri"/>
          <w:b/>
          <w:bCs/>
          <w:lang w:val="nl-BE"/>
        </w:rPr>
        <w:t xml:space="preserve"> </w:t>
      </w:r>
      <w:r>
        <w:rPr>
          <w:rFonts w:ascii="Calibri" w:eastAsia="Calibri" w:hAnsi="Calibri" w:cs="Calibri"/>
          <w:b/>
          <w:bCs/>
          <w:i/>
          <w:iCs/>
          <w:sz w:val="18"/>
          <w:szCs w:val="18"/>
          <w:lang w:val="nl-BE"/>
        </w:rPr>
        <w:t>Onder "handelsvestiging" moet verstaan worden:</w:t>
      </w:r>
    </w:p>
    <w:p w:rsidR="005E7C69" w:rsidRPr="00D86D5B" w:rsidRDefault="00D86D5B" w:rsidP="005E7C69">
      <w:pPr>
        <w:pStyle w:val="Notedebasdepage"/>
        <w:jc w:val="both"/>
        <w:rPr>
          <w:i/>
          <w:sz w:val="18"/>
          <w:szCs w:val="18"/>
          <w:lang w:val="nl-NL"/>
        </w:rPr>
      </w:pPr>
      <w:r>
        <w:rPr>
          <w:rFonts w:ascii="Calibri" w:eastAsia="Calibri" w:hAnsi="Calibri" w:cs="Calibri"/>
          <w:i/>
          <w:iCs/>
          <w:sz w:val="18"/>
          <w:szCs w:val="18"/>
          <w:lang w:val="nl-BE"/>
        </w:rPr>
        <w:t xml:space="preserve">   </w:t>
      </w:r>
      <w:r w:rsidR="00AA4B96">
        <w:rPr>
          <w:rFonts w:ascii="Calibri" w:eastAsia="Calibri" w:hAnsi="Calibri" w:cs="Calibri"/>
          <w:i/>
          <w:iCs/>
          <w:sz w:val="18"/>
          <w:szCs w:val="18"/>
          <w:lang w:val="nl-BE"/>
        </w:rPr>
        <w:t>1° een nieuwbouwproject dat voorziet in de vestiging van een handelszaak, met uitzondering van groothandel;</w:t>
      </w:r>
    </w:p>
    <w:p w:rsidR="005E7C69" w:rsidRPr="00D86D5B" w:rsidRDefault="00D86D5B" w:rsidP="005E7C69">
      <w:pPr>
        <w:pStyle w:val="Notedebasdepage"/>
        <w:jc w:val="both"/>
        <w:rPr>
          <w:i/>
          <w:sz w:val="18"/>
          <w:szCs w:val="18"/>
          <w:lang w:val="nl-NL"/>
        </w:rPr>
      </w:pPr>
      <w:r>
        <w:rPr>
          <w:rFonts w:ascii="Calibri" w:eastAsia="Calibri" w:hAnsi="Calibri" w:cs="Calibri"/>
          <w:i/>
          <w:iCs/>
          <w:sz w:val="18"/>
          <w:szCs w:val="18"/>
          <w:lang w:val="nl-NL"/>
        </w:rPr>
        <w:t xml:space="preserve">   </w:t>
      </w:r>
      <w:r w:rsidR="00AA4B96">
        <w:rPr>
          <w:rFonts w:ascii="Calibri" w:eastAsia="Calibri" w:hAnsi="Calibri" w:cs="Calibri"/>
          <w:i/>
          <w:iCs/>
          <w:sz w:val="18"/>
          <w:szCs w:val="18"/>
          <w:lang w:val="nl-BE"/>
        </w:rPr>
        <w:t>2° een project van handelsgeheel, met uitzondering van groothandel, dit wil zeggen, een geheel van handelszaken die zich al dan niet in afzonderlijke gebouwen bevinden en waarvan al dan niet één en dezelfde persoon de promotor, de eigenaar of de uitbater is, die zich op eenzelfde plaats bevinden en die van rechtswege of feitelijk met elkaar verbonden zijn, in het bijzonder op financieel, commercieel of materieel gebied of die het voorwerp zijn van een procedure in gezamenlijk overleg op het gebied van een stedenbouwkundige vergunning;</w:t>
      </w:r>
    </w:p>
    <w:p w:rsidR="005E7C69" w:rsidRPr="00D86D5B" w:rsidRDefault="00D86D5B" w:rsidP="005E7C69">
      <w:pPr>
        <w:pStyle w:val="Notedebasdepage"/>
        <w:jc w:val="both"/>
        <w:rPr>
          <w:i/>
          <w:sz w:val="18"/>
          <w:szCs w:val="18"/>
          <w:lang w:val="nl-NL"/>
        </w:rPr>
      </w:pPr>
      <w:r>
        <w:rPr>
          <w:rFonts w:ascii="Calibri" w:eastAsia="Calibri" w:hAnsi="Calibri" w:cs="Calibri"/>
          <w:i/>
          <w:iCs/>
          <w:sz w:val="18"/>
          <w:szCs w:val="18"/>
          <w:lang w:val="nl-NL"/>
        </w:rPr>
        <w:t xml:space="preserve">   </w:t>
      </w:r>
      <w:r w:rsidR="00AA4B96">
        <w:rPr>
          <w:rFonts w:ascii="Calibri" w:eastAsia="Calibri" w:hAnsi="Calibri" w:cs="Calibri"/>
          <w:i/>
          <w:iCs/>
          <w:sz w:val="18"/>
          <w:szCs w:val="18"/>
          <w:lang w:val="nl-BE"/>
        </w:rPr>
        <w:t>3° een uitbreidingsproject van een handelszaak of van een handelsgeheel, met uitzondering van groothandel, dat reeds een netto handelsoppervlakte van 400 vierkante meter heeft bereikt of die zal overschrijden door de uitvoering van het project;</w:t>
      </w:r>
    </w:p>
    <w:p w:rsidR="005E7C69" w:rsidRPr="00D86D5B" w:rsidRDefault="00D86D5B" w:rsidP="005E7C69">
      <w:pPr>
        <w:pStyle w:val="Notedebasdepage"/>
        <w:jc w:val="both"/>
        <w:rPr>
          <w:i/>
          <w:sz w:val="18"/>
          <w:szCs w:val="18"/>
          <w:lang w:val="nl-NL"/>
        </w:rPr>
      </w:pPr>
      <w:r>
        <w:rPr>
          <w:rFonts w:ascii="Calibri" w:eastAsia="Calibri" w:hAnsi="Calibri" w:cs="Calibri"/>
          <w:i/>
          <w:iCs/>
          <w:sz w:val="18"/>
          <w:szCs w:val="18"/>
          <w:lang w:val="nl-NL"/>
        </w:rPr>
        <w:t xml:space="preserve">   </w:t>
      </w:r>
      <w:r w:rsidR="00AA4B96">
        <w:rPr>
          <w:rFonts w:ascii="Calibri" w:eastAsia="Calibri" w:hAnsi="Calibri" w:cs="Calibri"/>
          <w:i/>
          <w:iCs/>
          <w:sz w:val="18"/>
          <w:szCs w:val="18"/>
          <w:lang w:val="nl-BE"/>
        </w:rPr>
        <w:t>4° een project voor de exploitatie van een of meerdere handelszaken of van een handelsgeheel, met uitzondering van groothandel, in een bestaand gebouw dat niet voor een handelsactiviteit bestemd was;</w:t>
      </w:r>
    </w:p>
    <w:p w:rsidR="005E7C69" w:rsidRPr="00D86D5B" w:rsidRDefault="00D86D5B" w:rsidP="005E7C69">
      <w:pPr>
        <w:pStyle w:val="Notedebasdepage"/>
        <w:jc w:val="both"/>
        <w:rPr>
          <w:i/>
          <w:sz w:val="18"/>
          <w:szCs w:val="18"/>
          <w:lang w:val="nl-NL"/>
        </w:rPr>
      </w:pPr>
      <w:r>
        <w:rPr>
          <w:rFonts w:ascii="Calibri" w:eastAsia="Calibri" w:hAnsi="Calibri" w:cs="Calibri"/>
          <w:i/>
          <w:iCs/>
          <w:sz w:val="18"/>
          <w:szCs w:val="18"/>
          <w:lang w:val="nl-NL"/>
        </w:rPr>
        <w:t xml:space="preserve">   </w:t>
      </w:r>
      <w:r w:rsidR="00AA4B96">
        <w:rPr>
          <w:rFonts w:ascii="Calibri" w:eastAsia="Calibri" w:hAnsi="Calibri" w:cs="Calibri"/>
          <w:i/>
          <w:iCs/>
          <w:sz w:val="18"/>
          <w:szCs w:val="18"/>
          <w:lang w:val="nl-BE"/>
        </w:rPr>
        <w:t>5° een project van belangrijke wijziging van de handelsactiviteit in een gebouw dat reeds voor commerciële doeleinden bestemd is, met uitzondering van groothandel.</w:t>
      </w:r>
    </w:p>
    <w:p w:rsidR="00F521FE" w:rsidRPr="00D86D5B" w:rsidRDefault="00EA0F3E" w:rsidP="005E7C69">
      <w:pPr>
        <w:pStyle w:val="Notedebasdepage"/>
        <w:jc w:val="both"/>
        <w:rPr>
          <w:i/>
          <w:sz w:val="18"/>
          <w:szCs w:val="18"/>
          <w:lang w:val="nl-NL"/>
        </w:rPr>
      </w:pPr>
    </w:p>
  </w:footnote>
  <w:footnote w:id="2">
    <w:p w:rsidR="00F521FE" w:rsidRPr="00D86D5B" w:rsidRDefault="00AA4B96" w:rsidP="00F521FE">
      <w:pPr>
        <w:pStyle w:val="Notedebasdepage"/>
        <w:jc w:val="both"/>
        <w:rPr>
          <w:i/>
          <w:sz w:val="18"/>
          <w:szCs w:val="18"/>
          <w:lang w:val="nl-NL"/>
        </w:rPr>
      </w:pPr>
      <w:r w:rsidRPr="00D86D5B">
        <w:rPr>
          <w:rStyle w:val="Appelnotedebasdep"/>
          <w:b/>
        </w:rPr>
        <w:footnoteRef/>
      </w:r>
      <w:r w:rsidR="001E1560">
        <w:rPr>
          <w:rFonts w:ascii="Calibri" w:eastAsia="Calibri" w:hAnsi="Calibri" w:cs="Calibri"/>
          <w:i/>
          <w:iCs/>
          <w:sz w:val="18"/>
          <w:szCs w:val="18"/>
          <w:lang w:val="nl-BE"/>
        </w:rPr>
        <w:t xml:space="preserve"> </w:t>
      </w:r>
      <w:r>
        <w:rPr>
          <w:rFonts w:ascii="Calibri" w:eastAsia="Calibri" w:hAnsi="Calibri" w:cs="Calibri"/>
          <w:b/>
          <w:bCs/>
          <w:i/>
          <w:iCs/>
          <w:sz w:val="18"/>
          <w:szCs w:val="18"/>
          <w:lang w:val="nl-BE"/>
        </w:rPr>
        <w:t>Onder "netto handelsoppervlakte" moet verstaan worden:</w:t>
      </w:r>
      <w:r>
        <w:rPr>
          <w:rFonts w:ascii="Calibri" w:eastAsia="Calibri" w:hAnsi="Calibri" w:cs="Calibri"/>
          <w:i/>
          <w:iCs/>
          <w:sz w:val="18"/>
          <w:szCs w:val="18"/>
          <w:lang w:val="nl-BE"/>
        </w:rPr>
        <w:t xml:space="preserve"> de oppervlakte bestemd voor verkoop of levering van diensten, die voor het publiek toegankelijk is, met inbegrip van de niet-overdekte oppervlakten, de kassazones, de zones die zich achter de kassa’s bevinden en de inkomruimte indien deze ook worden aangewend om waren uit te stallen of te verkopen.</w:t>
      </w:r>
    </w:p>
    <w:p w:rsidR="005E7C69" w:rsidRPr="00D86D5B" w:rsidRDefault="00D86D5B" w:rsidP="00F521FE">
      <w:pPr>
        <w:pStyle w:val="Notedebasdepage"/>
        <w:jc w:val="both"/>
        <w:rPr>
          <w:lang w:val="nl-NL"/>
        </w:rPr>
      </w:pPr>
      <w:r w:rsidRPr="00D86D5B">
        <w:rPr>
          <w:rFonts w:ascii="Calibri" w:eastAsia="Calibri" w:hAnsi="Calibri" w:cs="Calibri"/>
          <w:i/>
          <w:iCs/>
          <w:sz w:val="18"/>
          <w:szCs w:val="18"/>
          <w:lang w:val="nl-BE"/>
        </w:rPr>
        <w:t xml:space="preserve">  </w:t>
      </w:r>
      <w:r w:rsidR="00AA4B96">
        <w:rPr>
          <w:rFonts w:ascii="Calibri" w:eastAsia="Calibri" w:hAnsi="Calibri" w:cs="Calibri"/>
          <w:i/>
          <w:iCs/>
          <w:sz w:val="18"/>
          <w:szCs w:val="18"/>
          <w:u w:val="single"/>
          <w:lang w:val="nl-BE"/>
        </w:rPr>
        <w:t>In geval van uitbreiding is de netto handelsoppervlakte die voor de toepassing van dit artikel in aanmerking genomen moet worden, de totale oppervlakte na verwezenlijking van het project van handelsvestiging.</w:t>
      </w:r>
    </w:p>
  </w:footnote>
  <w:footnote w:id="3">
    <w:p w:rsidR="00E90400" w:rsidRPr="00D86D5B" w:rsidRDefault="00EA0F3E">
      <w:pPr>
        <w:pStyle w:val="Notedebasdepage"/>
        <w:rPr>
          <w:lang w:val="nl-NL"/>
        </w:rPr>
      </w:pPr>
    </w:p>
    <w:p w:rsidR="00E90400" w:rsidRPr="00D86D5B" w:rsidRDefault="00AA4B96" w:rsidP="00D86D5B">
      <w:pPr>
        <w:pStyle w:val="Notedebasdepage"/>
        <w:jc w:val="both"/>
        <w:rPr>
          <w:sz w:val="18"/>
          <w:szCs w:val="18"/>
          <w:lang w:val="nl-NL"/>
        </w:rPr>
      </w:pPr>
      <w:r w:rsidRPr="00D86D5B">
        <w:rPr>
          <w:rStyle w:val="Appelnotedebasdep"/>
          <w:b/>
        </w:rPr>
        <w:footnoteRef/>
      </w:r>
      <w:r>
        <w:rPr>
          <w:rFonts w:ascii="Calibri" w:eastAsia="Calibri" w:hAnsi="Calibri" w:cs="Calibri"/>
          <w:lang w:val="nl-BE"/>
        </w:rPr>
        <w:t xml:space="preserve"> </w:t>
      </w:r>
      <w:r>
        <w:rPr>
          <w:rFonts w:ascii="Calibri" w:eastAsia="Calibri" w:hAnsi="Calibri" w:cs="Calibri"/>
          <w:i/>
          <w:iCs/>
          <w:sz w:val="18"/>
          <w:szCs w:val="18"/>
          <w:lang w:val="nl-BE"/>
        </w:rPr>
        <w:t>De informatie die in deze aanvulling bij de verklarende nota vermeld moet worden, wordt voor aanvraagdossiers van stedenbouwkundige vergunningen waarvoor een milieueffectenverslag of -studie vereist is, opgenomen in de milieueffectenbeoordeling.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77F80"/>
    <w:multiLevelType w:val="hybridMultilevel"/>
    <w:tmpl w:val="52F28332"/>
    <w:lvl w:ilvl="0" w:tplc="604CE1F0">
      <w:start w:val="1"/>
      <w:numFmt w:val="bullet"/>
      <w:lvlText w:val=""/>
      <w:lvlJc w:val="left"/>
      <w:pPr>
        <w:ind w:left="720" w:hanging="360"/>
      </w:pPr>
      <w:rPr>
        <w:rFonts w:ascii="Wingdings" w:hAnsi="Wingdings" w:hint="default"/>
      </w:rPr>
    </w:lvl>
    <w:lvl w:ilvl="1" w:tplc="5BF8B64E" w:tentative="1">
      <w:start w:val="1"/>
      <w:numFmt w:val="bullet"/>
      <w:lvlText w:val="o"/>
      <w:lvlJc w:val="left"/>
      <w:pPr>
        <w:ind w:left="1440" w:hanging="360"/>
      </w:pPr>
      <w:rPr>
        <w:rFonts w:ascii="Courier New" w:hAnsi="Courier New" w:cs="Courier New" w:hint="default"/>
      </w:rPr>
    </w:lvl>
    <w:lvl w:ilvl="2" w:tplc="7BC6D786" w:tentative="1">
      <w:start w:val="1"/>
      <w:numFmt w:val="bullet"/>
      <w:lvlText w:val=""/>
      <w:lvlJc w:val="left"/>
      <w:pPr>
        <w:ind w:left="2160" w:hanging="360"/>
      </w:pPr>
      <w:rPr>
        <w:rFonts w:ascii="Wingdings" w:hAnsi="Wingdings" w:hint="default"/>
      </w:rPr>
    </w:lvl>
    <w:lvl w:ilvl="3" w:tplc="B824B4B8" w:tentative="1">
      <w:start w:val="1"/>
      <w:numFmt w:val="bullet"/>
      <w:lvlText w:val=""/>
      <w:lvlJc w:val="left"/>
      <w:pPr>
        <w:ind w:left="2880" w:hanging="360"/>
      </w:pPr>
      <w:rPr>
        <w:rFonts w:ascii="Symbol" w:hAnsi="Symbol" w:hint="default"/>
      </w:rPr>
    </w:lvl>
    <w:lvl w:ilvl="4" w:tplc="7F18361C" w:tentative="1">
      <w:start w:val="1"/>
      <w:numFmt w:val="bullet"/>
      <w:lvlText w:val="o"/>
      <w:lvlJc w:val="left"/>
      <w:pPr>
        <w:ind w:left="3600" w:hanging="360"/>
      </w:pPr>
      <w:rPr>
        <w:rFonts w:ascii="Courier New" w:hAnsi="Courier New" w:cs="Courier New" w:hint="default"/>
      </w:rPr>
    </w:lvl>
    <w:lvl w:ilvl="5" w:tplc="21F628A0" w:tentative="1">
      <w:start w:val="1"/>
      <w:numFmt w:val="bullet"/>
      <w:lvlText w:val=""/>
      <w:lvlJc w:val="left"/>
      <w:pPr>
        <w:ind w:left="4320" w:hanging="360"/>
      </w:pPr>
      <w:rPr>
        <w:rFonts w:ascii="Wingdings" w:hAnsi="Wingdings" w:hint="default"/>
      </w:rPr>
    </w:lvl>
    <w:lvl w:ilvl="6" w:tplc="06400180" w:tentative="1">
      <w:start w:val="1"/>
      <w:numFmt w:val="bullet"/>
      <w:lvlText w:val=""/>
      <w:lvlJc w:val="left"/>
      <w:pPr>
        <w:ind w:left="5040" w:hanging="360"/>
      </w:pPr>
      <w:rPr>
        <w:rFonts w:ascii="Symbol" w:hAnsi="Symbol" w:hint="default"/>
      </w:rPr>
    </w:lvl>
    <w:lvl w:ilvl="7" w:tplc="EE6C27C4" w:tentative="1">
      <w:start w:val="1"/>
      <w:numFmt w:val="bullet"/>
      <w:lvlText w:val="o"/>
      <w:lvlJc w:val="left"/>
      <w:pPr>
        <w:ind w:left="5760" w:hanging="360"/>
      </w:pPr>
      <w:rPr>
        <w:rFonts w:ascii="Courier New" w:hAnsi="Courier New" w:cs="Courier New" w:hint="default"/>
      </w:rPr>
    </w:lvl>
    <w:lvl w:ilvl="8" w:tplc="D9181A34" w:tentative="1">
      <w:start w:val="1"/>
      <w:numFmt w:val="bullet"/>
      <w:lvlText w:val=""/>
      <w:lvlJc w:val="left"/>
      <w:pPr>
        <w:ind w:left="6480" w:hanging="360"/>
      </w:pPr>
      <w:rPr>
        <w:rFonts w:ascii="Wingdings" w:hAnsi="Wingdings" w:hint="default"/>
      </w:rPr>
    </w:lvl>
  </w:abstractNum>
  <w:abstractNum w:abstractNumId="1">
    <w:nsid w:val="50104F2C"/>
    <w:multiLevelType w:val="hybridMultilevel"/>
    <w:tmpl w:val="7430B8BA"/>
    <w:lvl w:ilvl="0" w:tplc="AFB2E736">
      <w:numFmt w:val="bullet"/>
      <w:lvlText w:val="-"/>
      <w:lvlJc w:val="left"/>
      <w:pPr>
        <w:ind w:left="1463" w:hanging="360"/>
      </w:pPr>
      <w:rPr>
        <w:rFonts w:ascii="Times New Roman" w:hAnsi="Times New Roman" w:hint="default"/>
      </w:rPr>
    </w:lvl>
    <w:lvl w:ilvl="1" w:tplc="920C49DC" w:tentative="1">
      <w:start w:val="1"/>
      <w:numFmt w:val="bullet"/>
      <w:lvlText w:val="o"/>
      <w:lvlJc w:val="left"/>
      <w:pPr>
        <w:ind w:left="2183" w:hanging="360"/>
      </w:pPr>
      <w:rPr>
        <w:rFonts w:ascii="Courier New" w:hAnsi="Courier New" w:cs="Courier New" w:hint="default"/>
      </w:rPr>
    </w:lvl>
    <w:lvl w:ilvl="2" w:tplc="E8D4CD9A" w:tentative="1">
      <w:start w:val="1"/>
      <w:numFmt w:val="bullet"/>
      <w:lvlText w:val=""/>
      <w:lvlJc w:val="left"/>
      <w:pPr>
        <w:ind w:left="2903" w:hanging="360"/>
      </w:pPr>
      <w:rPr>
        <w:rFonts w:ascii="Wingdings" w:hAnsi="Wingdings" w:hint="default"/>
      </w:rPr>
    </w:lvl>
    <w:lvl w:ilvl="3" w:tplc="1E8E7B98" w:tentative="1">
      <w:start w:val="1"/>
      <w:numFmt w:val="bullet"/>
      <w:lvlText w:val=""/>
      <w:lvlJc w:val="left"/>
      <w:pPr>
        <w:ind w:left="3623" w:hanging="360"/>
      </w:pPr>
      <w:rPr>
        <w:rFonts w:ascii="Symbol" w:hAnsi="Symbol" w:hint="default"/>
      </w:rPr>
    </w:lvl>
    <w:lvl w:ilvl="4" w:tplc="E53A97AC" w:tentative="1">
      <w:start w:val="1"/>
      <w:numFmt w:val="bullet"/>
      <w:lvlText w:val="o"/>
      <w:lvlJc w:val="left"/>
      <w:pPr>
        <w:ind w:left="4343" w:hanging="360"/>
      </w:pPr>
      <w:rPr>
        <w:rFonts w:ascii="Courier New" w:hAnsi="Courier New" w:cs="Courier New" w:hint="default"/>
      </w:rPr>
    </w:lvl>
    <w:lvl w:ilvl="5" w:tplc="053668F8" w:tentative="1">
      <w:start w:val="1"/>
      <w:numFmt w:val="bullet"/>
      <w:lvlText w:val=""/>
      <w:lvlJc w:val="left"/>
      <w:pPr>
        <w:ind w:left="5063" w:hanging="360"/>
      </w:pPr>
      <w:rPr>
        <w:rFonts w:ascii="Wingdings" w:hAnsi="Wingdings" w:hint="default"/>
      </w:rPr>
    </w:lvl>
    <w:lvl w:ilvl="6" w:tplc="6BB2F08C" w:tentative="1">
      <w:start w:val="1"/>
      <w:numFmt w:val="bullet"/>
      <w:lvlText w:val=""/>
      <w:lvlJc w:val="left"/>
      <w:pPr>
        <w:ind w:left="5783" w:hanging="360"/>
      </w:pPr>
      <w:rPr>
        <w:rFonts w:ascii="Symbol" w:hAnsi="Symbol" w:hint="default"/>
      </w:rPr>
    </w:lvl>
    <w:lvl w:ilvl="7" w:tplc="D7EC1C4A" w:tentative="1">
      <w:start w:val="1"/>
      <w:numFmt w:val="bullet"/>
      <w:lvlText w:val="o"/>
      <w:lvlJc w:val="left"/>
      <w:pPr>
        <w:ind w:left="6503" w:hanging="360"/>
      </w:pPr>
      <w:rPr>
        <w:rFonts w:ascii="Courier New" w:hAnsi="Courier New" w:cs="Courier New" w:hint="default"/>
      </w:rPr>
    </w:lvl>
    <w:lvl w:ilvl="8" w:tplc="B5F64B26" w:tentative="1">
      <w:start w:val="1"/>
      <w:numFmt w:val="bullet"/>
      <w:lvlText w:val=""/>
      <w:lvlJc w:val="left"/>
      <w:pPr>
        <w:ind w:left="7223" w:hanging="360"/>
      </w:pPr>
      <w:rPr>
        <w:rFonts w:ascii="Wingdings" w:hAnsi="Wingdings" w:hint="default"/>
      </w:rPr>
    </w:lvl>
  </w:abstractNum>
  <w:abstractNum w:abstractNumId="2">
    <w:nsid w:val="79C07A6E"/>
    <w:multiLevelType w:val="hybridMultilevel"/>
    <w:tmpl w:val="03E264BA"/>
    <w:lvl w:ilvl="0" w:tplc="B358A70C">
      <w:numFmt w:val="bullet"/>
      <w:lvlText w:val="-"/>
      <w:lvlJc w:val="left"/>
      <w:pPr>
        <w:ind w:left="720" w:hanging="360"/>
      </w:pPr>
      <w:rPr>
        <w:rFonts w:ascii="Calibri" w:eastAsiaTheme="minorHAnsi" w:hAnsi="Calibri" w:cstheme="minorBidi" w:hint="default"/>
      </w:rPr>
    </w:lvl>
    <w:lvl w:ilvl="1" w:tplc="18F26860" w:tentative="1">
      <w:start w:val="1"/>
      <w:numFmt w:val="bullet"/>
      <w:lvlText w:val="o"/>
      <w:lvlJc w:val="left"/>
      <w:pPr>
        <w:ind w:left="1440" w:hanging="360"/>
      </w:pPr>
      <w:rPr>
        <w:rFonts w:ascii="Courier New" w:hAnsi="Courier New" w:cs="Courier New" w:hint="default"/>
      </w:rPr>
    </w:lvl>
    <w:lvl w:ilvl="2" w:tplc="CC1865C6" w:tentative="1">
      <w:start w:val="1"/>
      <w:numFmt w:val="bullet"/>
      <w:lvlText w:val=""/>
      <w:lvlJc w:val="left"/>
      <w:pPr>
        <w:ind w:left="2160" w:hanging="360"/>
      </w:pPr>
      <w:rPr>
        <w:rFonts w:ascii="Wingdings" w:hAnsi="Wingdings" w:hint="default"/>
      </w:rPr>
    </w:lvl>
    <w:lvl w:ilvl="3" w:tplc="CAA826BA" w:tentative="1">
      <w:start w:val="1"/>
      <w:numFmt w:val="bullet"/>
      <w:lvlText w:val=""/>
      <w:lvlJc w:val="left"/>
      <w:pPr>
        <w:ind w:left="2880" w:hanging="360"/>
      </w:pPr>
      <w:rPr>
        <w:rFonts w:ascii="Symbol" w:hAnsi="Symbol" w:hint="default"/>
      </w:rPr>
    </w:lvl>
    <w:lvl w:ilvl="4" w:tplc="36944DC2" w:tentative="1">
      <w:start w:val="1"/>
      <w:numFmt w:val="bullet"/>
      <w:lvlText w:val="o"/>
      <w:lvlJc w:val="left"/>
      <w:pPr>
        <w:ind w:left="3600" w:hanging="360"/>
      </w:pPr>
      <w:rPr>
        <w:rFonts w:ascii="Courier New" w:hAnsi="Courier New" w:cs="Courier New" w:hint="default"/>
      </w:rPr>
    </w:lvl>
    <w:lvl w:ilvl="5" w:tplc="99480438" w:tentative="1">
      <w:start w:val="1"/>
      <w:numFmt w:val="bullet"/>
      <w:lvlText w:val=""/>
      <w:lvlJc w:val="left"/>
      <w:pPr>
        <w:ind w:left="4320" w:hanging="360"/>
      </w:pPr>
      <w:rPr>
        <w:rFonts w:ascii="Wingdings" w:hAnsi="Wingdings" w:hint="default"/>
      </w:rPr>
    </w:lvl>
    <w:lvl w:ilvl="6" w:tplc="28C8E38C" w:tentative="1">
      <w:start w:val="1"/>
      <w:numFmt w:val="bullet"/>
      <w:lvlText w:val=""/>
      <w:lvlJc w:val="left"/>
      <w:pPr>
        <w:ind w:left="5040" w:hanging="360"/>
      </w:pPr>
      <w:rPr>
        <w:rFonts w:ascii="Symbol" w:hAnsi="Symbol" w:hint="default"/>
      </w:rPr>
    </w:lvl>
    <w:lvl w:ilvl="7" w:tplc="09C67374" w:tentative="1">
      <w:start w:val="1"/>
      <w:numFmt w:val="bullet"/>
      <w:lvlText w:val="o"/>
      <w:lvlJc w:val="left"/>
      <w:pPr>
        <w:ind w:left="5760" w:hanging="360"/>
      </w:pPr>
      <w:rPr>
        <w:rFonts w:ascii="Courier New" w:hAnsi="Courier New" w:cs="Courier New" w:hint="default"/>
      </w:rPr>
    </w:lvl>
    <w:lvl w:ilvl="8" w:tplc="9D2C265E"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AB"/>
    <w:rsid w:val="001475C9"/>
    <w:rsid w:val="001C09AF"/>
    <w:rsid w:val="001E1560"/>
    <w:rsid w:val="002071AB"/>
    <w:rsid w:val="003B4D21"/>
    <w:rsid w:val="004A6271"/>
    <w:rsid w:val="006F6E85"/>
    <w:rsid w:val="00766E57"/>
    <w:rsid w:val="00AA4B96"/>
    <w:rsid w:val="00C21757"/>
    <w:rsid w:val="00C42171"/>
    <w:rsid w:val="00C87544"/>
    <w:rsid w:val="00CA084E"/>
    <w:rsid w:val="00D86D5B"/>
    <w:rsid w:val="00EA0F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42E9A"/>
    <w:pPr>
      <w:spacing w:before="100" w:beforeAutospacing="1" w:after="119" w:line="240" w:lineRule="auto"/>
    </w:pPr>
    <w:rPr>
      <w:rFonts w:ascii="Arial Unicode MS" w:eastAsia="Arial Unicode MS" w:hAnsi="Arial Unicode MS" w:cs="Arial Unicode MS"/>
      <w:sz w:val="24"/>
      <w:szCs w:val="24"/>
      <w:lang w:val="en-GB"/>
    </w:rPr>
  </w:style>
  <w:style w:type="paragraph" w:styleId="Paragraphedeliste">
    <w:name w:val="List Paragraph"/>
    <w:basedOn w:val="Normal"/>
    <w:uiPriority w:val="34"/>
    <w:qFormat/>
    <w:rsid w:val="005E7C69"/>
    <w:pPr>
      <w:ind w:left="720"/>
      <w:contextualSpacing/>
    </w:pPr>
  </w:style>
  <w:style w:type="paragraph" w:styleId="Notedebasdepage">
    <w:name w:val="footnote text"/>
    <w:basedOn w:val="Normal"/>
    <w:link w:val="NotedebasdepageCar"/>
    <w:uiPriority w:val="99"/>
    <w:semiHidden/>
    <w:unhideWhenUsed/>
    <w:rsid w:val="005E7C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E7C69"/>
    <w:rPr>
      <w:sz w:val="20"/>
      <w:szCs w:val="20"/>
    </w:rPr>
  </w:style>
  <w:style w:type="character" w:styleId="Appelnotedebasdep">
    <w:name w:val="footnote reference"/>
    <w:basedOn w:val="Policepardfaut"/>
    <w:uiPriority w:val="99"/>
    <w:semiHidden/>
    <w:unhideWhenUsed/>
    <w:rsid w:val="005E7C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42E9A"/>
    <w:pPr>
      <w:spacing w:before="100" w:beforeAutospacing="1" w:after="119" w:line="240" w:lineRule="auto"/>
    </w:pPr>
    <w:rPr>
      <w:rFonts w:ascii="Arial Unicode MS" w:eastAsia="Arial Unicode MS" w:hAnsi="Arial Unicode MS" w:cs="Arial Unicode MS"/>
      <w:sz w:val="24"/>
      <w:szCs w:val="24"/>
      <w:lang w:val="en-GB"/>
    </w:rPr>
  </w:style>
  <w:style w:type="paragraph" w:styleId="Paragraphedeliste">
    <w:name w:val="List Paragraph"/>
    <w:basedOn w:val="Normal"/>
    <w:uiPriority w:val="34"/>
    <w:qFormat/>
    <w:rsid w:val="005E7C69"/>
    <w:pPr>
      <w:ind w:left="720"/>
      <w:contextualSpacing/>
    </w:pPr>
  </w:style>
  <w:style w:type="paragraph" w:styleId="Notedebasdepage">
    <w:name w:val="footnote text"/>
    <w:basedOn w:val="Normal"/>
    <w:link w:val="NotedebasdepageCar"/>
    <w:uiPriority w:val="99"/>
    <w:semiHidden/>
    <w:unhideWhenUsed/>
    <w:rsid w:val="005E7C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E7C69"/>
    <w:rPr>
      <w:sz w:val="20"/>
      <w:szCs w:val="20"/>
    </w:rPr>
  </w:style>
  <w:style w:type="character" w:styleId="Appelnotedebasdep">
    <w:name w:val="footnote reference"/>
    <w:basedOn w:val="Policepardfaut"/>
    <w:uiPriority w:val="99"/>
    <w:semiHidden/>
    <w:unhideWhenUsed/>
    <w:rsid w:val="005E7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E2EC1-6026-4D31-A843-061945CD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HANSSENS</dc:creator>
  <cp:lastModifiedBy>Carine EFRATAS</cp:lastModifiedBy>
  <cp:revision>2</cp:revision>
  <cp:lastPrinted>2014-06-25T13:57:00Z</cp:lastPrinted>
  <dcterms:created xsi:type="dcterms:W3CDTF">2014-11-06T07:50:00Z</dcterms:created>
  <dcterms:modified xsi:type="dcterms:W3CDTF">2014-11-06T07:50:00Z</dcterms:modified>
</cp:coreProperties>
</file>